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521" w:rsidRDefault="00031521">
      <w:r w:rsidRPr="00BF406F">
        <w:rPr>
          <w:rFonts w:ascii="Arial Black" w:hAnsi="Arial Black"/>
          <w:sz w:val="24"/>
        </w:rPr>
        <w:t xml:space="preserve">Priority of services for future commissioning </w:t>
      </w:r>
      <w:r w:rsidRPr="00BF406F">
        <w:t xml:space="preserve">                                                                                            </w:t>
      </w:r>
      <w:r>
        <w:t>Exec 18.07.12</w:t>
      </w:r>
      <w:r w:rsidRPr="00BF406F">
        <w:t xml:space="preserve">    </w:t>
      </w:r>
      <w:r>
        <w:t xml:space="preserve">      </w:t>
      </w:r>
      <w:r w:rsidRPr="00BF406F">
        <w:t xml:space="preserve">   </w:t>
      </w:r>
      <w:r>
        <w:t>A</w:t>
      </w:r>
      <w:r w:rsidRPr="00FD72E7">
        <w:rPr>
          <w:rFonts w:ascii="Arial" w:hAnsi="Arial"/>
          <w:sz w:val="24"/>
        </w:rPr>
        <w:t xml:space="preserve">ppendix </w:t>
      </w:r>
      <w:r>
        <w:rPr>
          <w:rFonts w:ascii="Arial" w:hAnsi="Arial"/>
          <w:sz w:val="24"/>
        </w:rPr>
        <w:t xml:space="preserve">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3827"/>
        <w:gridCol w:w="3260"/>
        <w:gridCol w:w="2268"/>
        <w:gridCol w:w="2159"/>
      </w:tblGrid>
      <w:tr w:rsidR="00031521" w:rsidRPr="00BF67DF" w:rsidTr="0077603C">
        <w:tc>
          <w:tcPr>
            <w:tcW w:w="2660" w:type="dxa"/>
            <w:shd w:val="clear" w:color="auto" w:fill="C0C0C0"/>
          </w:tcPr>
          <w:p w:rsidR="00031521" w:rsidRPr="00BF67DF" w:rsidRDefault="00031521" w:rsidP="0024494F">
            <w:pPr>
              <w:spacing w:after="0" w:line="240" w:lineRule="auto"/>
              <w:rPr>
                <w:b/>
              </w:rPr>
            </w:pPr>
            <w:r w:rsidRPr="00BF67DF">
              <w:rPr>
                <w:b/>
              </w:rPr>
              <w:t>Grade 1 : Require an increase</w:t>
            </w:r>
          </w:p>
        </w:tc>
        <w:tc>
          <w:tcPr>
            <w:tcW w:w="3827" w:type="dxa"/>
            <w:shd w:val="clear" w:color="auto" w:fill="C0C0C0"/>
          </w:tcPr>
          <w:p w:rsidR="00031521" w:rsidRPr="00BF67DF" w:rsidRDefault="00031521" w:rsidP="000102C9">
            <w:pPr>
              <w:spacing w:after="0" w:line="240" w:lineRule="auto"/>
              <w:rPr>
                <w:b/>
              </w:rPr>
            </w:pPr>
            <w:r w:rsidRPr="00BF67DF">
              <w:rPr>
                <w:b/>
              </w:rPr>
              <w:t xml:space="preserve">Key outcomes </w:t>
            </w:r>
          </w:p>
        </w:tc>
        <w:tc>
          <w:tcPr>
            <w:tcW w:w="3260" w:type="dxa"/>
            <w:shd w:val="clear" w:color="auto" w:fill="C0C0C0"/>
          </w:tcPr>
          <w:p w:rsidR="00031521" w:rsidRPr="00BF67DF" w:rsidRDefault="00031521" w:rsidP="000102C9">
            <w:pPr>
              <w:spacing w:after="0" w:line="240" w:lineRule="auto"/>
              <w:rPr>
                <w:b/>
              </w:rPr>
            </w:pPr>
            <w:r w:rsidRPr="00BF67DF">
              <w:rPr>
                <w:b/>
              </w:rPr>
              <w:t>Current spend</w:t>
            </w:r>
          </w:p>
        </w:tc>
        <w:tc>
          <w:tcPr>
            <w:tcW w:w="2268" w:type="dxa"/>
            <w:shd w:val="clear" w:color="auto" w:fill="C0C0C0"/>
          </w:tcPr>
          <w:p w:rsidR="00031521" w:rsidRPr="00BF67DF" w:rsidRDefault="00031521" w:rsidP="000102C9">
            <w:pPr>
              <w:spacing w:after="0" w:line="240" w:lineRule="auto"/>
              <w:rPr>
                <w:b/>
              </w:rPr>
            </w:pPr>
            <w:r w:rsidRPr="00BF67DF">
              <w:rPr>
                <w:b/>
              </w:rPr>
              <w:t>Suggested minimum</w:t>
            </w:r>
          </w:p>
        </w:tc>
        <w:tc>
          <w:tcPr>
            <w:tcW w:w="2159" w:type="dxa"/>
            <w:shd w:val="clear" w:color="auto" w:fill="C0C0C0"/>
          </w:tcPr>
          <w:p w:rsidR="00031521" w:rsidRPr="00BF67DF" w:rsidRDefault="00031521" w:rsidP="000102C9">
            <w:pPr>
              <w:spacing w:after="0" w:line="240" w:lineRule="auto"/>
              <w:rPr>
                <w:b/>
              </w:rPr>
            </w:pPr>
            <w:r w:rsidRPr="00BF67DF">
              <w:rPr>
                <w:b/>
              </w:rPr>
              <w:t>Suggested maximum</w:t>
            </w:r>
          </w:p>
        </w:tc>
      </w:tr>
      <w:tr w:rsidR="00031521" w:rsidRPr="000102C9" w:rsidTr="00FB2679">
        <w:tc>
          <w:tcPr>
            <w:tcW w:w="2660" w:type="dxa"/>
          </w:tcPr>
          <w:p w:rsidR="00031521" w:rsidRPr="000102C9" w:rsidRDefault="00031521" w:rsidP="003478ED">
            <w:pPr>
              <w:pStyle w:val="Default"/>
            </w:pPr>
            <w:r w:rsidRPr="000102C9">
              <w:t>Debt &amp; Money Advice / Financial Inclusion</w:t>
            </w:r>
          </w:p>
          <w:p w:rsidR="00031521" w:rsidRPr="000102C9" w:rsidRDefault="00031521" w:rsidP="003478ED">
            <w:pPr>
              <w:pStyle w:val="Default"/>
            </w:pPr>
          </w:p>
          <w:p w:rsidR="00031521" w:rsidRPr="000102C9" w:rsidRDefault="00031521" w:rsidP="00333A75">
            <w:pPr>
              <w:pStyle w:val="Default"/>
            </w:pPr>
          </w:p>
        </w:tc>
        <w:tc>
          <w:tcPr>
            <w:tcW w:w="3827" w:type="dxa"/>
          </w:tcPr>
          <w:p w:rsidR="00031521" w:rsidRPr="000102C9" w:rsidRDefault="00031521" w:rsidP="007E15E6">
            <w:pPr>
              <w:pStyle w:val="Default"/>
            </w:pPr>
            <w:r w:rsidRPr="000102C9">
              <w:t xml:space="preserve">People with unmanageable debt can access a free, effective multichannel debt advice service that delivers consistent and fair outcomes for them and their </w:t>
            </w:r>
          </w:p>
          <w:p w:rsidR="00031521" w:rsidRPr="000102C9" w:rsidRDefault="00031521" w:rsidP="007E15E6">
            <w:pPr>
              <w:pStyle w:val="Default"/>
            </w:pPr>
            <w:r w:rsidRPr="000102C9">
              <w:t>creditors.</w:t>
            </w:r>
          </w:p>
          <w:p w:rsidR="00031521" w:rsidRPr="000102C9" w:rsidRDefault="00031521" w:rsidP="007E15E6">
            <w:pPr>
              <w:pStyle w:val="Default"/>
            </w:pPr>
            <w:r w:rsidRPr="000102C9">
              <w:rPr>
                <w:sz w:val="22"/>
                <w:szCs w:val="22"/>
              </w:rPr>
              <w:t>People are more able to budget and manage their money</w:t>
            </w:r>
          </w:p>
          <w:p w:rsidR="00031521" w:rsidRDefault="00031521" w:rsidP="007E15E6">
            <w:pPr>
              <w:pStyle w:val="Default"/>
              <w:rPr>
                <w:sz w:val="22"/>
                <w:szCs w:val="22"/>
              </w:rPr>
            </w:pPr>
            <w:r w:rsidRPr="000102C9">
              <w:t xml:space="preserve">People can access  </w:t>
            </w:r>
            <w:r w:rsidRPr="000102C9">
              <w:rPr>
                <w:sz w:val="22"/>
                <w:szCs w:val="22"/>
              </w:rPr>
              <w:t>affordable and responsible credit</w:t>
            </w:r>
          </w:p>
          <w:p w:rsidR="00031521" w:rsidRPr="000102C9" w:rsidRDefault="00031521" w:rsidP="007E15E6">
            <w:pPr>
              <w:pStyle w:val="Default"/>
              <w:rPr>
                <w:sz w:val="22"/>
                <w:szCs w:val="22"/>
              </w:rPr>
            </w:pPr>
            <w:r>
              <w:rPr>
                <w:sz w:val="22"/>
                <w:szCs w:val="22"/>
              </w:rPr>
              <w:t>Access to affordable and responsible credit</w:t>
            </w:r>
          </w:p>
          <w:p w:rsidR="00031521" w:rsidRDefault="00031521" w:rsidP="003478ED">
            <w:pPr>
              <w:pStyle w:val="Default"/>
            </w:pPr>
          </w:p>
          <w:p w:rsidR="00031521" w:rsidRPr="000102C9" w:rsidRDefault="00031521" w:rsidP="003478ED">
            <w:pPr>
              <w:pStyle w:val="Default"/>
            </w:pPr>
          </w:p>
        </w:tc>
        <w:tc>
          <w:tcPr>
            <w:tcW w:w="3260" w:type="dxa"/>
          </w:tcPr>
          <w:p w:rsidR="00031521" w:rsidRPr="000102C9" w:rsidRDefault="00031521" w:rsidP="000102C9">
            <w:pPr>
              <w:pStyle w:val="Default"/>
              <w:jc w:val="right"/>
              <w:rPr>
                <w:sz w:val="22"/>
                <w:szCs w:val="22"/>
              </w:rPr>
            </w:pPr>
            <w:r w:rsidRPr="000102C9">
              <w:t>Total: £50,000</w:t>
            </w:r>
          </w:p>
          <w:p w:rsidR="00031521" w:rsidRPr="000102C9" w:rsidRDefault="00031521" w:rsidP="007E15E6">
            <w:pPr>
              <w:pStyle w:val="Default"/>
            </w:pPr>
          </w:p>
        </w:tc>
        <w:tc>
          <w:tcPr>
            <w:tcW w:w="2268" w:type="dxa"/>
          </w:tcPr>
          <w:p w:rsidR="00031521" w:rsidRPr="000102C9" w:rsidRDefault="00031521" w:rsidP="005D7B47">
            <w:pPr>
              <w:spacing w:after="0" w:line="240" w:lineRule="auto"/>
              <w:jc w:val="right"/>
            </w:pPr>
            <w:r>
              <w:t>£60,000</w:t>
            </w:r>
          </w:p>
        </w:tc>
        <w:tc>
          <w:tcPr>
            <w:tcW w:w="2159" w:type="dxa"/>
          </w:tcPr>
          <w:p w:rsidR="00031521" w:rsidRPr="000102C9" w:rsidRDefault="00031521" w:rsidP="00254A4A">
            <w:pPr>
              <w:spacing w:after="0" w:line="240" w:lineRule="auto"/>
              <w:jc w:val="right"/>
            </w:pPr>
            <w:r>
              <w:t>£70,000</w:t>
            </w:r>
          </w:p>
        </w:tc>
      </w:tr>
      <w:tr w:rsidR="00031521" w:rsidRPr="000102C9" w:rsidTr="0077603C">
        <w:tc>
          <w:tcPr>
            <w:tcW w:w="2660" w:type="dxa"/>
          </w:tcPr>
          <w:p w:rsidR="00031521" w:rsidRPr="000102C9" w:rsidRDefault="00031521" w:rsidP="003478ED">
            <w:pPr>
              <w:pStyle w:val="Default"/>
            </w:pPr>
            <w:r w:rsidRPr="000102C9">
              <w:t>Housing Support</w:t>
            </w:r>
          </w:p>
          <w:p w:rsidR="00031521" w:rsidRPr="000102C9" w:rsidRDefault="00031521" w:rsidP="003478ED">
            <w:pPr>
              <w:pStyle w:val="Default"/>
            </w:pPr>
          </w:p>
          <w:p w:rsidR="00031521" w:rsidRPr="000102C9" w:rsidRDefault="00031521" w:rsidP="003478ED">
            <w:pPr>
              <w:pStyle w:val="Default"/>
            </w:pPr>
          </w:p>
          <w:p w:rsidR="00031521" w:rsidRPr="000102C9" w:rsidRDefault="00031521" w:rsidP="003478ED">
            <w:pPr>
              <w:pStyle w:val="Default"/>
            </w:pPr>
          </w:p>
        </w:tc>
        <w:tc>
          <w:tcPr>
            <w:tcW w:w="3827" w:type="dxa"/>
          </w:tcPr>
          <w:p w:rsidR="00031521" w:rsidRPr="000102C9" w:rsidRDefault="00031521" w:rsidP="007E15E6">
            <w:pPr>
              <w:pStyle w:val="Default"/>
            </w:pPr>
            <w:r w:rsidRPr="000102C9">
              <w:t>People  who are non priority homeless can access advice and support about housing options</w:t>
            </w:r>
          </w:p>
          <w:p w:rsidR="00031521" w:rsidRPr="000102C9" w:rsidRDefault="00031521" w:rsidP="007E15E6">
            <w:pPr>
              <w:pStyle w:val="Default"/>
            </w:pPr>
            <w:r w:rsidRPr="000102C9">
              <w:t>People who are under threat of losing their homes are more likely to seek early advice from their landlords</w:t>
            </w:r>
          </w:p>
          <w:p w:rsidR="00031521" w:rsidRPr="000102C9" w:rsidRDefault="00031521" w:rsidP="007E15E6">
            <w:pPr>
              <w:pStyle w:val="Default"/>
            </w:pPr>
            <w:r w:rsidRPr="000102C9">
              <w:t>People do not repeatedly have accommodation problems</w:t>
            </w:r>
          </w:p>
          <w:p w:rsidR="00031521" w:rsidRPr="000102C9" w:rsidRDefault="00031521" w:rsidP="007E15E6">
            <w:pPr>
              <w:pStyle w:val="Default"/>
            </w:pPr>
            <w:r w:rsidRPr="000102C9">
              <w:t xml:space="preserve">People can access affordable furniture and be able to donate unwanted furniture </w:t>
            </w:r>
          </w:p>
          <w:p w:rsidR="00031521" w:rsidRPr="000102C9" w:rsidRDefault="00031521" w:rsidP="007E15E6">
            <w:pPr>
              <w:pStyle w:val="Default"/>
            </w:pPr>
          </w:p>
        </w:tc>
        <w:tc>
          <w:tcPr>
            <w:tcW w:w="3260" w:type="dxa"/>
          </w:tcPr>
          <w:p w:rsidR="00031521" w:rsidRPr="000102C9" w:rsidRDefault="00031521" w:rsidP="000102C9">
            <w:pPr>
              <w:pStyle w:val="Default"/>
              <w:jc w:val="right"/>
            </w:pPr>
            <w:r w:rsidRPr="000102C9">
              <w:t xml:space="preserve">Total : £41,600 </w:t>
            </w:r>
          </w:p>
          <w:p w:rsidR="00031521" w:rsidRPr="000102C9" w:rsidRDefault="00031521" w:rsidP="007E15E6">
            <w:pPr>
              <w:pStyle w:val="Default"/>
            </w:pPr>
          </w:p>
          <w:p w:rsidR="00031521" w:rsidRPr="000102C9" w:rsidRDefault="00031521" w:rsidP="007E15E6">
            <w:pPr>
              <w:pStyle w:val="Default"/>
            </w:pPr>
            <w:r w:rsidRPr="000102C9">
              <w:t>Housing options - £20,000</w:t>
            </w:r>
          </w:p>
          <w:p w:rsidR="00031521" w:rsidRPr="000102C9" w:rsidRDefault="00031521" w:rsidP="007E15E6">
            <w:pPr>
              <w:pStyle w:val="Default"/>
            </w:pPr>
            <w:r w:rsidRPr="000102C9">
              <w:t>Furniture recycling -£21,600</w:t>
            </w:r>
          </w:p>
          <w:p w:rsidR="00031521" w:rsidRPr="000102C9" w:rsidRDefault="00031521" w:rsidP="007E15E6">
            <w:pPr>
              <w:pStyle w:val="Default"/>
            </w:pPr>
          </w:p>
        </w:tc>
        <w:tc>
          <w:tcPr>
            <w:tcW w:w="2268" w:type="dxa"/>
          </w:tcPr>
          <w:p w:rsidR="00031521" w:rsidRPr="000102C9" w:rsidRDefault="00031521" w:rsidP="00254A4A">
            <w:pPr>
              <w:spacing w:after="0" w:line="240" w:lineRule="auto"/>
              <w:jc w:val="right"/>
            </w:pPr>
            <w:r>
              <w:t>£45,000</w:t>
            </w:r>
          </w:p>
        </w:tc>
        <w:tc>
          <w:tcPr>
            <w:tcW w:w="2159" w:type="dxa"/>
          </w:tcPr>
          <w:p w:rsidR="00031521" w:rsidRPr="000102C9" w:rsidRDefault="00031521" w:rsidP="00254A4A">
            <w:pPr>
              <w:spacing w:after="0" w:line="240" w:lineRule="auto"/>
              <w:jc w:val="right"/>
            </w:pPr>
            <w:r>
              <w:t>£50,000</w:t>
            </w:r>
          </w:p>
        </w:tc>
      </w:tr>
      <w:tr w:rsidR="00031521" w:rsidRPr="00BF67DF" w:rsidTr="0077603C">
        <w:tc>
          <w:tcPr>
            <w:tcW w:w="2660" w:type="dxa"/>
            <w:shd w:val="clear" w:color="auto" w:fill="C0C0C0"/>
          </w:tcPr>
          <w:p w:rsidR="00031521" w:rsidRDefault="00031521" w:rsidP="003478ED">
            <w:pPr>
              <w:pStyle w:val="Default"/>
              <w:rPr>
                <w:b/>
              </w:rPr>
            </w:pPr>
            <w:r w:rsidRPr="00BF67DF">
              <w:rPr>
                <w:b/>
              </w:rPr>
              <w:t xml:space="preserve">Grade 2 : New </w:t>
            </w:r>
          </w:p>
          <w:p w:rsidR="00031521" w:rsidRPr="00BF67DF" w:rsidRDefault="00031521" w:rsidP="003478ED">
            <w:pPr>
              <w:pStyle w:val="Default"/>
              <w:rPr>
                <w:b/>
              </w:rPr>
            </w:pPr>
          </w:p>
        </w:tc>
        <w:tc>
          <w:tcPr>
            <w:tcW w:w="3827" w:type="dxa"/>
            <w:shd w:val="clear" w:color="auto" w:fill="C0C0C0"/>
          </w:tcPr>
          <w:p w:rsidR="00031521" w:rsidRPr="00BF67DF" w:rsidRDefault="00031521" w:rsidP="004D1858">
            <w:pPr>
              <w:spacing w:after="0" w:line="240" w:lineRule="auto"/>
              <w:rPr>
                <w:b/>
              </w:rPr>
            </w:pPr>
            <w:r w:rsidRPr="00BF67DF">
              <w:rPr>
                <w:b/>
              </w:rPr>
              <w:t xml:space="preserve">Key outcomes </w:t>
            </w:r>
          </w:p>
        </w:tc>
        <w:tc>
          <w:tcPr>
            <w:tcW w:w="3260" w:type="dxa"/>
            <w:shd w:val="clear" w:color="auto" w:fill="C0C0C0"/>
          </w:tcPr>
          <w:p w:rsidR="00031521" w:rsidRPr="00BF67DF" w:rsidRDefault="00031521" w:rsidP="004D1858">
            <w:pPr>
              <w:spacing w:after="0" w:line="240" w:lineRule="auto"/>
              <w:rPr>
                <w:b/>
              </w:rPr>
            </w:pPr>
            <w:r w:rsidRPr="00BF67DF">
              <w:rPr>
                <w:b/>
              </w:rPr>
              <w:t>Current spend</w:t>
            </w:r>
          </w:p>
        </w:tc>
        <w:tc>
          <w:tcPr>
            <w:tcW w:w="2268" w:type="dxa"/>
            <w:shd w:val="clear" w:color="auto" w:fill="C0C0C0"/>
          </w:tcPr>
          <w:p w:rsidR="00031521" w:rsidRPr="00BF67DF" w:rsidRDefault="00031521" w:rsidP="004D1858">
            <w:pPr>
              <w:spacing w:after="0" w:line="240" w:lineRule="auto"/>
              <w:rPr>
                <w:b/>
              </w:rPr>
            </w:pPr>
            <w:r w:rsidRPr="00BF67DF">
              <w:rPr>
                <w:b/>
              </w:rPr>
              <w:t>Suggested minimum</w:t>
            </w:r>
          </w:p>
        </w:tc>
        <w:tc>
          <w:tcPr>
            <w:tcW w:w="2159" w:type="dxa"/>
            <w:shd w:val="clear" w:color="auto" w:fill="C0C0C0"/>
          </w:tcPr>
          <w:p w:rsidR="00031521" w:rsidRPr="00BF67DF" w:rsidRDefault="00031521" w:rsidP="004D1858">
            <w:pPr>
              <w:spacing w:after="0" w:line="240" w:lineRule="auto"/>
              <w:rPr>
                <w:b/>
              </w:rPr>
            </w:pPr>
            <w:r w:rsidRPr="00BF67DF">
              <w:rPr>
                <w:b/>
              </w:rPr>
              <w:t>Suggested maximum</w:t>
            </w:r>
          </w:p>
        </w:tc>
      </w:tr>
      <w:tr w:rsidR="00031521" w:rsidRPr="0024494F" w:rsidTr="0077603C">
        <w:tc>
          <w:tcPr>
            <w:tcW w:w="2660" w:type="dxa"/>
          </w:tcPr>
          <w:p w:rsidR="00031521" w:rsidRPr="000102C9" w:rsidRDefault="00031521" w:rsidP="003478ED">
            <w:pPr>
              <w:pStyle w:val="Default"/>
            </w:pPr>
            <w:r w:rsidRPr="000102C9">
              <w:t>Employment &amp; enterprise</w:t>
            </w:r>
          </w:p>
          <w:p w:rsidR="00031521" w:rsidRPr="000102C9" w:rsidRDefault="00031521" w:rsidP="003478ED">
            <w:pPr>
              <w:pStyle w:val="Default"/>
            </w:pPr>
          </w:p>
          <w:p w:rsidR="00031521" w:rsidRPr="000102C9" w:rsidRDefault="00031521" w:rsidP="003478ED">
            <w:pPr>
              <w:pStyle w:val="Default"/>
            </w:pPr>
          </w:p>
        </w:tc>
        <w:tc>
          <w:tcPr>
            <w:tcW w:w="3827" w:type="dxa"/>
          </w:tcPr>
          <w:p w:rsidR="00031521" w:rsidRPr="000102C9" w:rsidRDefault="00031521" w:rsidP="007E15E6">
            <w:pPr>
              <w:pStyle w:val="Default"/>
            </w:pPr>
            <w:r w:rsidRPr="000102C9">
              <w:t xml:space="preserve">Micro and small businesses can have access to a business/enterprise coach offering transformational support: to grow the business; become more profitable; or employ more people. </w:t>
            </w:r>
          </w:p>
          <w:p w:rsidR="00031521" w:rsidRDefault="00031521" w:rsidP="007E15E6">
            <w:pPr>
              <w:pStyle w:val="Default"/>
            </w:pPr>
            <w:r w:rsidRPr="000102C9">
              <w:t xml:space="preserve">To operate from  Chesham House Enterprise Centre  - </w:t>
            </w:r>
          </w:p>
          <w:p w:rsidR="00031521" w:rsidRPr="000102C9" w:rsidRDefault="00031521" w:rsidP="007E15E6">
            <w:pPr>
              <w:pStyle w:val="Default"/>
            </w:pPr>
          </w:p>
        </w:tc>
        <w:tc>
          <w:tcPr>
            <w:tcW w:w="3260" w:type="dxa"/>
          </w:tcPr>
          <w:p w:rsidR="00031521" w:rsidRPr="000102C9" w:rsidRDefault="00031521" w:rsidP="000102C9">
            <w:pPr>
              <w:pStyle w:val="Default"/>
              <w:jc w:val="right"/>
            </w:pPr>
            <w:r w:rsidRPr="000102C9">
              <w:t>Total: £7,000</w:t>
            </w:r>
          </w:p>
          <w:p w:rsidR="00031521" w:rsidRPr="000102C9" w:rsidRDefault="00031521" w:rsidP="000102C9">
            <w:pPr>
              <w:spacing w:after="0" w:line="240" w:lineRule="auto"/>
            </w:pPr>
            <w:r w:rsidRPr="000102C9">
              <w:t xml:space="preserve"> </w:t>
            </w:r>
          </w:p>
        </w:tc>
        <w:tc>
          <w:tcPr>
            <w:tcW w:w="2268" w:type="dxa"/>
          </w:tcPr>
          <w:p w:rsidR="00031521" w:rsidRPr="000102C9" w:rsidRDefault="00031521" w:rsidP="006E6AC9">
            <w:pPr>
              <w:spacing w:after="0" w:line="240" w:lineRule="auto"/>
              <w:jc w:val="right"/>
            </w:pPr>
            <w:r>
              <w:t>£25,000</w:t>
            </w:r>
          </w:p>
          <w:p w:rsidR="00031521" w:rsidRPr="000102C9" w:rsidRDefault="00031521" w:rsidP="000102C9">
            <w:pPr>
              <w:spacing w:after="0" w:line="240" w:lineRule="auto"/>
              <w:jc w:val="right"/>
            </w:pPr>
          </w:p>
        </w:tc>
        <w:tc>
          <w:tcPr>
            <w:tcW w:w="2159" w:type="dxa"/>
          </w:tcPr>
          <w:p w:rsidR="00031521" w:rsidRPr="000102C9" w:rsidRDefault="00031521" w:rsidP="006E6AC9">
            <w:pPr>
              <w:spacing w:after="0" w:line="240" w:lineRule="auto"/>
              <w:jc w:val="right"/>
            </w:pPr>
            <w:r>
              <w:t>£35,000</w:t>
            </w:r>
          </w:p>
        </w:tc>
      </w:tr>
      <w:tr w:rsidR="00031521" w:rsidRPr="00BF67DF" w:rsidTr="0077603C">
        <w:tc>
          <w:tcPr>
            <w:tcW w:w="2660" w:type="dxa"/>
            <w:shd w:val="clear" w:color="auto" w:fill="C0C0C0"/>
          </w:tcPr>
          <w:p w:rsidR="00031521" w:rsidRPr="00BF67DF" w:rsidRDefault="00031521" w:rsidP="003478ED">
            <w:pPr>
              <w:pStyle w:val="Default"/>
              <w:rPr>
                <w:b/>
              </w:rPr>
            </w:pPr>
            <w:r w:rsidRPr="00BF67DF">
              <w:rPr>
                <w:b/>
              </w:rPr>
              <w:t xml:space="preserve">Grade 3 : </w:t>
            </w:r>
            <w:r w:rsidRPr="00BF67DF">
              <w:rPr>
                <w:b/>
                <w:color w:val="auto"/>
              </w:rPr>
              <w:t>Maintenance of service</w:t>
            </w:r>
            <w:r w:rsidRPr="00BF67DF">
              <w:rPr>
                <w:b/>
              </w:rPr>
              <w:t xml:space="preserve"> </w:t>
            </w:r>
          </w:p>
        </w:tc>
        <w:tc>
          <w:tcPr>
            <w:tcW w:w="3827" w:type="dxa"/>
            <w:shd w:val="clear" w:color="auto" w:fill="C0C0C0"/>
          </w:tcPr>
          <w:p w:rsidR="00031521" w:rsidRPr="00BF67DF" w:rsidRDefault="00031521" w:rsidP="004D1858">
            <w:pPr>
              <w:spacing w:after="0" w:line="240" w:lineRule="auto"/>
              <w:rPr>
                <w:b/>
              </w:rPr>
            </w:pPr>
            <w:r w:rsidRPr="00BF67DF">
              <w:rPr>
                <w:b/>
              </w:rPr>
              <w:t xml:space="preserve">Key outcomes </w:t>
            </w:r>
          </w:p>
        </w:tc>
        <w:tc>
          <w:tcPr>
            <w:tcW w:w="3260" w:type="dxa"/>
            <w:shd w:val="clear" w:color="auto" w:fill="C0C0C0"/>
          </w:tcPr>
          <w:p w:rsidR="00031521" w:rsidRPr="00BF67DF" w:rsidRDefault="00031521" w:rsidP="004D1858">
            <w:pPr>
              <w:spacing w:after="0" w:line="240" w:lineRule="auto"/>
              <w:rPr>
                <w:b/>
              </w:rPr>
            </w:pPr>
            <w:r w:rsidRPr="00BF67DF">
              <w:rPr>
                <w:b/>
              </w:rPr>
              <w:t>Current spend</w:t>
            </w:r>
          </w:p>
        </w:tc>
        <w:tc>
          <w:tcPr>
            <w:tcW w:w="2268" w:type="dxa"/>
            <w:shd w:val="clear" w:color="auto" w:fill="C0C0C0"/>
          </w:tcPr>
          <w:p w:rsidR="00031521" w:rsidRPr="00BF67DF" w:rsidRDefault="00031521" w:rsidP="004D1858">
            <w:pPr>
              <w:spacing w:after="0" w:line="240" w:lineRule="auto"/>
              <w:rPr>
                <w:b/>
              </w:rPr>
            </w:pPr>
            <w:r w:rsidRPr="00BF67DF">
              <w:rPr>
                <w:b/>
              </w:rPr>
              <w:t>Suggested minimum</w:t>
            </w:r>
          </w:p>
        </w:tc>
        <w:tc>
          <w:tcPr>
            <w:tcW w:w="2159" w:type="dxa"/>
            <w:shd w:val="clear" w:color="auto" w:fill="C0C0C0"/>
          </w:tcPr>
          <w:p w:rsidR="00031521" w:rsidRPr="00BF67DF" w:rsidRDefault="00031521" w:rsidP="004D1858">
            <w:pPr>
              <w:spacing w:after="0" w:line="240" w:lineRule="auto"/>
              <w:rPr>
                <w:b/>
              </w:rPr>
            </w:pPr>
            <w:r w:rsidRPr="00BF67DF">
              <w:rPr>
                <w:b/>
              </w:rPr>
              <w:t>Suggested maximum</w:t>
            </w:r>
          </w:p>
        </w:tc>
      </w:tr>
      <w:tr w:rsidR="00031521" w:rsidRPr="000102C9" w:rsidTr="00FB2679">
        <w:tc>
          <w:tcPr>
            <w:tcW w:w="2660" w:type="dxa"/>
          </w:tcPr>
          <w:p w:rsidR="00031521" w:rsidRPr="000102C9" w:rsidRDefault="00031521" w:rsidP="003478ED">
            <w:pPr>
              <w:pStyle w:val="Default"/>
            </w:pPr>
            <w:r w:rsidRPr="000102C9">
              <w:t>Independent Living</w:t>
            </w:r>
          </w:p>
          <w:p w:rsidR="00031521" w:rsidRPr="000102C9" w:rsidRDefault="00031521" w:rsidP="003478ED">
            <w:pPr>
              <w:pStyle w:val="Default"/>
            </w:pPr>
          </w:p>
          <w:p w:rsidR="00031521" w:rsidRPr="000102C9" w:rsidRDefault="00031521" w:rsidP="003478ED">
            <w:pPr>
              <w:pStyle w:val="Default"/>
            </w:pPr>
          </w:p>
        </w:tc>
        <w:tc>
          <w:tcPr>
            <w:tcW w:w="3827" w:type="dxa"/>
          </w:tcPr>
          <w:p w:rsidR="00031521" w:rsidRPr="000102C9" w:rsidRDefault="00031521" w:rsidP="007E15E6">
            <w:pPr>
              <w:pStyle w:val="Default"/>
            </w:pPr>
            <w:r w:rsidRPr="000102C9">
              <w:t>Older people are able to remain in their own homes for longer</w:t>
            </w:r>
          </w:p>
          <w:p w:rsidR="00031521" w:rsidRPr="000102C9" w:rsidRDefault="00031521" w:rsidP="007E15E6">
            <w:pPr>
              <w:pStyle w:val="Default"/>
            </w:pPr>
            <w:r w:rsidRPr="000102C9">
              <w:t xml:space="preserve">Older people participate and have active lifestyles </w:t>
            </w:r>
          </w:p>
          <w:p w:rsidR="00031521" w:rsidRPr="000102C9" w:rsidRDefault="00031521" w:rsidP="007E15E6">
            <w:pPr>
              <w:pStyle w:val="Default"/>
            </w:pPr>
            <w:r w:rsidRPr="000102C9">
              <w:t xml:space="preserve">Older people have healthy lifestyles (diet, less alcohol and stop smoking) </w:t>
            </w:r>
          </w:p>
          <w:p w:rsidR="00031521" w:rsidRPr="000102C9" w:rsidRDefault="00031521" w:rsidP="007E15E6">
            <w:pPr>
              <w:pStyle w:val="Default"/>
            </w:pPr>
            <w:r w:rsidRPr="000102C9">
              <w:t>Older people are less socially isolated</w:t>
            </w:r>
          </w:p>
          <w:p w:rsidR="00031521" w:rsidRPr="000102C9" w:rsidRDefault="00031521" w:rsidP="007E15E6">
            <w:pPr>
              <w:pStyle w:val="Default"/>
            </w:pPr>
            <w:r w:rsidRPr="000102C9">
              <w:t>Fewer older people are in fuel poverty</w:t>
            </w:r>
          </w:p>
          <w:p w:rsidR="00031521" w:rsidRPr="000102C9" w:rsidRDefault="00031521" w:rsidP="007E15E6">
            <w:pPr>
              <w:pStyle w:val="Default"/>
            </w:pPr>
          </w:p>
          <w:p w:rsidR="00031521" w:rsidRDefault="00031521" w:rsidP="007E15E6">
            <w:pPr>
              <w:pStyle w:val="Default"/>
            </w:pPr>
            <w:r w:rsidRPr="000102C9">
              <w:t xml:space="preserve">To operate from a day centre in </w:t>
            </w:r>
            <w:smartTag w:uri="urn:schemas-microsoft-com:office:smarttags" w:element="PersonName">
              <w:r w:rsidRPr="000102C9">
                <w:t>Kettering</w:t>
              </w:r>
            </w:smartTag>
            <w:r w:rsidRPr="000102C9">
              <w:t xml:space="preserve"> and one of the market towns</w:t>
            </w:r>
          </w:p>
          <w:p w:rsidR="00031521" w:rsidRDefault="00031521" w:rsidP="007E15E6">
            <w:pPr>
              <w:pStyle w:val="Default"/>
            </w:pPr>
          </w:p>
          <w:p w:rsidR="00031521" w:rsidRPr="000102C9" w:rsidRDefault="00031521" w:rsidP="007E15E6">
            <w:pPr>
              <w:pStyle w:val="Default"/>
            </w:pPr>
          </w:p>
        </w:tc>
        <w:tc>
          <w:tcPr>
            <w:tcW w:w="3260" w:type="dxa"/>
          </w:tcPr>
          <w:p w:rsidR="00031521" w:rsidRPr="000102C9" w:rsidRDefault="00031521" w:rsidP="000102C9">
            <w:pPr>
              <w:pStyle w:val="Default"/>
              <w:jc w:val="right"/>
            </w:pPr>
            <w:r w:rsidRPr="000102C9">
              <w:t>Total: £43,000</w:t>
            </w:r>
          </w:p>
          <w:p w:rsidR="00031521" w:rsidRPr="000102C9" w:rsidRDefault="00031521" w:rsidP="002A7F64">
            <w:pPr>
              <w:pStyle w:val="Default"/>
            </w:pPr>
          </w:p>
          <w:p w:rsidR="00031521" w:rsidRPr="000102C9" w:rsidRDefault="00031521" w:rsidP="007E15E6">
            <w:pPr>
              <w:pStyle w:val="Default"/>
            </w:pPr>
            <w:smartTag w:uri="urn:schemas-microsoft-com:office:smarttags" w:element="PersonName">
              <w:smartTag w:uri="urn:schemas-microsoft-com:office:smarttags" w:element="City">
                <w:smartTag w:uri="urn:schemas-microsoft-com:office:smarttags" w:element="place">
                  <w:r w:rsidRPr="000102C9">
                    <w:t>Kettering</w:t>
                  </w:r>
                </w:smartTag>
              </w:smartTag>
            </w:smartTag>
            <w:r w:rsidRPr="000102C9">
              <w:t xml:space="preserve"> - £30,000</w:t>
            </w:r>
          </w:p>
          <w:p w:rsidR="00031521" w:rsidRPr="000102C9" w:rsidRDefault="00031521" w:rsidP="007E15E6">
            <w:pPr>
              <w:pStyle w:val="Default"/>
            </w:pPr>
            <w:r w:rsidRPr="000102C9">
              <w:t>Market towns - £13,000</w:t>
            </w:r>
          </w:p>
        </w:tc>
        <w:tc>
          <w:tcPr>
            <w:tcW w:w="2268" w:type="dxa"/>
          </w:tcPr>
          <w:p w:rsidR="00031521" w:rsidRPr="000102C9" w:rsidRDefault="00031521" w:rsidP="006E6AC9">
            <w:pPr>
              <w:spacing w:after="0" w:line="240" w:lineRule="auto"/>
              <w:jc w:val="right"/>
            </w:pPr>
            <w:r>
              <w:t>£40,000</w:t>
            </w:r>
          </w:p>
        </w:tc>
        <w:tc>
          <w:tcPr>
            <w:tcW w:w="2159" w:type="dxa"/>
          </w:tcPr>
          <w:p w:rsidR="00031521" w:rsidRPr="000102C9" w:rsidRDefault="00031521" w:rsidP="006E6AC9">
            <w:pPr>
              <w:spacing w:after="0" w:line="240" w:lineRule="auto"/>
              <w:jc w:val="right"/>
            </w:pPr>
            <w:r>
              <w:t>£45,000</w:t>
            </w:r>
          </w:p>
        </w:tc>
      </w:tr>
      <w:tr w:rsidR="00031521" w:rsidRPr="000102C9" w:rsidTr="00FB2679">
        <w:trPr>
          <w:trHeight w:val="6345"/>
        </w:trPr>
        <w:tc>
          <w:tcPr>
            <w:tcW w:w="2660" w:type="dxa"/>
          </w:tcPr>
          <w:p w:rsidR="00031521" w:rsidRPr="000102C9" w:rsidRDefault="00031521" w:rsidP="003478ED">
            <w:pPr>
              <w:pStyle w:val="Default"/>
            </w:pPr>
            <w:r w:rsidRPr="000102C9">
              <w:t>Community Safety</w:t>
            </w:r>
          </w:p>
          <w:p w:rsidR="00031521" w:rsidRPr="000102C9" w:rsidRDefault="00031521" w:rsidP="003478ED">
            <w:pPr>
              <w:pStyle w:val="Default"/>
            </w:pPr>
          </w:p>
          <w:p w:rsidR="00031521" w:rsidRPr="000102C9" w:rsidRDefault="00031521" w:rsidP="003478ED">
            <w:pPr>
              <w:pStyle w:val="Default"/>
            </w:pPr>
          </w:p>
          <w:p w:rsidR="00031521" w:rsidRPr="000102C9" w:rsidRDefault="00031521" w:rsidP="003478ED">
            <w:pPr>
              <w:pStyle w:val="Default"/>
            </w:pPr>
          </w:p>
          <w:p w:rsidR="00031521" w:rsidRPr="000102C9" w:rsidRDefault="00031521" w:rsidP="003478ED">
            <w:pPr>
              <w:pStyle w:val="Default"/>
            </w:pPr>
          </w:p>
          <w:p w:rsidR="00031521" w:rsidRPr="000102C9" w:rsidRDefault="00031521" w:rsidP="003478ED">
            <w:pPr>
              <w:pStyle w:val="Default"/>
            </w:pPr>
          </w:p>
          <w:p w:rsidR="00031521" w:rsidRPr="000102C9" w:rsidRDefault="00031521" w:rsidP="003478ED">
            <w:pPr>
              <w:pStyle w:val="Default"/>
            </w:pPr>
          </w:p>
          <w:p w:rsidR="00031521" w:rsidRPr="000102C9" w:rsidRDefault="00031521" w:rsidP="003478ED">
            <w:pPr>
              <w:pStyle w:val="Default"/>
            </w:pPr>
          </w:p>
          <w:p w:rsidR="00031521" w:rsidRPr="000102C9" w:rsidRDefault="00031521" w:rsidP="003478ED">
            <w:pPr>
              <w:pStyle w:val="Default"/>
            </w:pPr>
          </w:p>
        </w:tc>
        <w:tc>
          <w:tcPr>
            <w:tcW w:w="3827" w:type="dxa"/>
          </w:tcPr>
          <w:p w:rsidR="00031521" w:rsidRPr="000102C9" w:rsidRDefault="00031521" w:rsidP="003478ED">
            <w:pPr>
              <w:pStyle w:val="Default"/>
            </w:pPr>
            <w:r w:rsidRPr="000102C9">
              <w:t>Neighbourhoods are part of Neighbourhood watch schemes particularly those where the perception of anti social behaviour is high</w:t>
            </w:r>
          </w:p>
          <w:p w:rsidR="00031521" w:rsidRPr="000102C9" w:rsidRDefault="00031521" w:rsidP="003478ED">
            <w:pPr>
              <w:pStyle w:val="Default"/>
            </w:pPr>
          </w:p>
          <w:p w:rsidR="00031521" w:rsidRPr="000102C9" w:rsidRDefault="00031521" w:rsidP="003478ED">
            <w:pPr>
              <w:pStyle w:val="Default"/>
            </w:pPr>
            <w:r w:rsidRPr="000102C9">
              <w:t>Victims of crime and anti social behaviour can access  free and confidential help,  Victims of burglary can feel safer in their homes</w:t>
            </w:r>
          </w:p>
          <w:p w:rsidR="00031521" w:rsidRPr="000102C9" w:rsidRDefault="00031521" w:rsidP="003478ED">
            <w:pPr>
              <w:pStyle w:val="Default"/>
            </w:pPr>
          </w:p>
          <w:p w:rsidR="00031521" w:rsidRPr="000102C9" w:rsidRDefault="00031521" w:rsidP="003478ED">
            <w:pPr>
              <w:pStyle w:val="Default"/>
            </w:pPr>
            <w:r w:rsidRPr="000102C9">
              <w:t>Young people from targeted groups and communities participate in activities that encourage active and healthy lifestyles</w:t>
            </w:r>
          </w:p>
          <w:p w:rsidR="00031521" w:rsidRPr="000102C9" w:rsidRDefault="00031521" w:rsidP="003478ED">
            <w:pPr>
              <w:pStyle w:val="Default"/>
            </w:pPr>
          </w:p>
          <w:p w:rsidR="00031521" w:rsidRPr="000102C9" w:rsidRDefault="00031521" w:rsidP="00404C5A">
            <w:pPr>
              <w:pStyle w:val="Default"/>
            </w:pPr>
            <w:r w:rsidRPr="000102C9">
              <w:t>Perception of antisocial behaviour by young people dec</w:t>
            </w:r>
            <w:r>
              <w:t>reases</w:t>
            </w:r>
          </w:p>
        </w:tc>
        <w:tc>
          <w:tcPr>
            <w:tcW w:w="3260" w:type="dxa"/>
          </w:tcPr>
          <w:p w:rsidR="00031521" w:rsidRPr="000102C9" w:rsidRDefault="00031521" w:rsidP="000102C9">
            <w:pPr>
              <w:pStyle w:val="Default"/>
              <w:jc w:val="right"/>
            </w:pPr>
            <w:r w:rsidRPr="000102C9">
              <w:t>Total: £42,400</w:t>
            </w:r>
          </w:p>
          <w:p w:rsidR="00031521" w:rsidRPr="000102C9" w:rsidRDefault="00031521" w:rsidP="00596B4B">
            <w:pPr>
              <w:pStyle w:val="Default"/>
            </w:pPr>
          </w:p>
          <w:p w:rsidR="00031521" w:rsidRPr="000102C9" w:rsidRDefault="00031521" w:rsidP="00596B4B">
            <w:pPr>
              <w:pStyle w:val="Default"/>
            </w:pPr>
            <w:r w:rsidRPr="000102C9">
              <w:t>Neighbourhood watch -£5,400</w:t>
            </w:r>
          </w:p>
          <w:p w:rsidR="00031521" w:rsidRPr="000102C9" w:rsidRDefault="00031521" w:rsidP="00596B4B">
            <w:pPr>
              <w:pStyle w:val="Default"/>
            </w:pPr>
            <w:r w:rsidRPr="000102C9">
              <w:t>Support for victims - £9,000</w:t>
            </w:r>
          </w:p>
          <w:p w:rsidR="00031521" w:rsidRPr="000102C9" w:rsidRDefault="00031521" w:rsidP="00596B4B">
            <w:pPr>
              <w:pStyle w:val="Default"/>
            </w:pPr>
            <w:r w:rsidRPr="000102C9">
              <w:t>Activities for young people - £23,000</w:t>
            </w:r>
          </w:p>
          <w:p w:rsidR="00031521" w:rsidRPr="000102C9" w:rsidRDefault="00031521" w:rsidP="00596B4B">
            <w:pPr>
              <w:pStyle w:val="Default"/>
            </w:pPr>
            <w:r w:rsidRPr="000102C9">
              <w:t>Detached youth outreach - £5,</w:t>
            </w:r>
            <w:r>
              <w:t>0</w:t>
            </w:r>
            <w:r w:rsidRPr="000102C9">
              <w:t>00</w:t>
            </w:r>
          </w:p>
          <w:p w:rsidR="00031521" w:rsidRPr="000102C9" w:rsidRDefault="00031521" w:rsidP="00596B4B">
            <w:pPr>
              <w:pStyle w:val="Default"/>
            </w:pPr>
          </w:p>
          <w:p w:rsidR="00031521" w:rsidRPr="000102C9" w:rsidRDefault="00031521" w:rsidP="00404C5A">
            <w:pPr>
              <w:pStyle w:val="Default"/>
              <w:jc w:val="right"/>
            </w:pPr>
          </w:p>
        </w:tc>
        <w:tc>
          <w:tcPr>
            <w:tcW w:w="2268" w:type="dxa"/>
          </w:tcPr>
          <w:p w:rsidR="00031521" w:rsidRPr="000102C9" w:rsidRDefault="00031521" w:rsidP="00C84C95">
            <w:pPr>
              <w:spacing w:after="0" w:line="240" w:lineRule="auto"/>
              <w:jc w:val="right"/>
            </w:pPr>
            <w:r>
              <w:t>£40,000</w:t>
            </w: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404C5A">
            <w:pPr>
              <w:spacing w:after="0" w:line="240" w:lineRule="auto"/>
              <w:jc w:val="right"/>
            </w:pPr>
          </w:p>
        </w:tc>
        <w:tc>
          <w:tcPr>
            <w:tcW w:w="2159" w:type="dxa"/>
          </w:tcPr>
          <w:p w:rsidR="00031521" w:rsidRPr="000102C9" w:rsidRDefault="00031521" w:rsidP="00C84C95">
            <w:pPr>
              <w:spacing w:after="0" w:line="240" w:lineRule="auto"/>
              <w:jc w:val="right"/>
            </w:pPr>
            <w:r>
              <w:t>£45,000</w:t>
            </w: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r w:rsidRPr="000102C9">
              <w:t xml:space="preserve"> </w:t>
            </w: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pPr>
          </w:p>
          <w:p w:rsidR="00031521" w:rsidRPr="000102C9" w:rsidRDefault="00031521" w:rsidP="000102C9">
            <w:pPr>
              <w:spacing w:after="0" w:line="240" w:lineRule="auto"/>
              <w:jc w:val="right"/>
            </w:pPr>
          </w:p>
        </w:tc>
      </w:tr>
      <w:tr w:rsidR="00031521" w:rsidRPr="000102C9" w:rsidTr="00FB2679">
        <w:tc>
          <w:tcPr>
            <w:tcW w:w="2660" w:type="dxa"/>
          </w:tcPr>
          <w:p w:rsidR="00031521" w:rsidRPr="000102C9" w:rsidRDefault="00031521" w:rsidP="00404C5A">
            <w:pPr>
              <w:pStyle w:val="Default"/>
            </w:pPr>
            <w:r>
              <w:t xml:space="preserve">Interpersonal violence (IPV). </w:t>
            </w:r>
          </w:p>
          <w:p w:rsidR="00031521" w:rsidRPr="000102C9" w:rsidRDefault="00031521" w:rsidP="003478ED">
            <w:pPr>
              <w:pStyle w:val="Default"/>
            </w:pPr>
          </w:p>
        </w:tc>
        <w:tc>
          <w:tcPr>
            <w:tcW w:w="3827" w:type="dxa"/>
          </w:tcPr>
          <w:p w:rsidR="00031521" w:rsidRPr="000102C9" w:rsidRDefault="00031521" w:rsidP="003478ED">
            <w:pPr>
              <w:pStyle w:val="Default"/>
            </w:pPr>
            <w:r>
              <w:t>T</w:t>
            </w:r>
            <w:r w:rsidRPr="000102C9">
              <w:t>his is a county-wide and jointly commissioned service</w:t>
            </w:r>
          </w:p>
        </w:tc>
        <w:tc>
          <w:tcPr>
            <w:tcW w:w="3260" w:type="dxa"/>
          </w:tcPr>
          <w:p w:rsidR="00031521" w:rsidRPr="000102C9" w:rsidRDefault="00031521" w:rsidP="00404C5A">
            <w:pPr>
              <w:pStyle w:val="Default"/>
              <w:jc w:val="right"/>
            </w:pPr>
            <w:r w:rsidRPr="000102C9">
              <w:t>£23,831</w:t>
            </w:r>
          </w:p>
          <w:p w:rsidR="00031521" w:rsidRPr="000102C9" w:rsidRDefault="00031521" w:rsidP="000102C9">
            <w:pPr>
              <w:pStyle w:val="Default"/>
              <w:jc w:val="right"/>
            </w:pPr>
          </w:p>
        </w:tc>
        <w:tc>
          <w:tcPr>
            <w:tcW w:w="2268" w:type="dxa"/>
          </w:tcPr>
          <w:p w:rsidR="00031521" w:rsidRPr="000102C9" w:rsidRDefault="00031521" w:rsidP="001645DA">
            <w:pPr>
              <w:spacing w:after="0" w:line="240" w:lineRule="auto"/>
              <w:jc w:val="right"/>
            </w:pPr>
            <w:r>
              <w:t>£24,000</w:t>
            </w:r>
          </w:p>
        </w:tc>
        <w:tc>
          <w:tcPr>
            <w:tcW w:w="2159" w:type="dxa"/>
          </w:tcPr>
          <w:p w:rsidR="00031521" w:rsidRPr="000102C9" w:rsidRDefault="00031521" w:rsidP="001645DA">
            <w:pPr>
              <w:spacing w:after="0" w:line="240" w:lineRule="auto"/>
              <w:jc w:val="right"/>
            </w:pPr>
            <w:r>
              <w:t>£24,000</w:t>
            </w:r>
          </w:p>
        </w:tc>
      </w:tr>
      <w:tr w:rsidR="00031521" w:rsidRPr="000102C9" w:rsidTr="0077603C">
        <w:tc>
          <w:tcPr>
            <w:tcW w:w="2660" w:type="dxa"/>
          </w:tcPr>
          <w:p w:rsidR="00031521" w:rsidRPr="000102C9" w:rsidRDefault="00031521" w:rsidP="003478ED">
            <w:pPr>
              <w:pStyle w:val="Default"/>
            </w:pPr>
            <w:r w:rsidRPr="000102C9">
              <w:t>Access &amp; equality</w:t>
            </w:r>
          </w:p>
          <w:p w:rsidR="00031521" w:rsidRPr="000102C9" w:rsidRDefault="00031521" w:rsidP="003478ED">
            <w:pPr>
              <w:pStyle w:val="Default"/>
            </w:pPr>
          </w:p>
        </w:tc>
        <w:tc>
          <w:tcPr>
            <w:tcW w:w="3827" w:type="dxa"/>
          </w:tcPr>
          <w:p w:rsidR="00031521" w:rsidRPr="000102C9" w:rsidRDefault="00031521" w:rsidP="003478ED">
            <w:pPr>
              <w:pStyle w:val="Default"/>
            </w:pPr>
            <w:r w:rsidRPr="000102C9">
              <w:t>People from different cultural backgrounds have opportunities to participate in activities  which promote positive relationships between all communities</w:t>
            </w:r>
          </w:p>
          <w:p w:rsidR="00031521" w:rsidRPr="000102C9" w:rsidRDefault="00031521" w:rsidP="003478ED">
            <w:pPr>
              <w:pStyle w:val="Default"/>
            </w:pPr>
          </w:p>
          <w:p w:rsidR="00031521" w:rsidRPr="000102C9" w:rsidRDefault="00031521" w:rsidP="003478ED">
            <w:pPr>
              <w:pStyle w:val="Default"/>
            </w:pPr>
            <w:r w:rsidRPr="000102C9">
              <w:t xml:space="preserve">People with permanent and temporary disabilities can get about </w:t>
            </w: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sidRPr="000102C9">
                      <w:t>Kettering</w:t>
                    </w:r>
                  </w:smartTag>
                </w:smartTag>
                <w:r w:rsidRPr="000102C9">
                  <w:t xml:space="preserve"> </w:t>
                </w:r>
                <w:smartTag w:uri="urn:schemas-microsoft-com:office:smarttags" w:element="PlaceType">
                  <w:r w:rsidRPr="000102C9">
                    <w:t>Town</w:t>
                  </w:r>
                </w:smartTag>
              </w:smartTag>
            </w:smartTag>
            <w:r w:rsidRPr="000102C9">
              <w:t xml:space="preserve"> centre through the loan of scooters and wheelchairs </w:t>
            </w:r>
          </w:p>
        </w:tc>
        <w:tc>
          <w:tcPr>
            <w:tcW w:w="3260" w:type="dxa"/>
          </w:tcPr>
          <w:p w:rsidR="00031521" w:rsidRPr="000102C9" w:rsidRDefault="00031521" w:rsidP="000102C9">
            <w:pPr>
              <w:pStyle w:val="Default"/>
              <w:jc w:val="right"/>
            </w:pPr>
            <w:r w:rsidRPr="000102C9">
              <w:t>Total: £28,653</w:t>
            </w:r>
          </w:p>
          <w:p w:rsidR="00031521" w:rsidRPr="000102C9" w:rsidRDefault="00031521" w:rsidP="007551C3">
            <w:pPr>
              <w:pStyle w:val="Default"/>
            </w:pPr>
          </w:p>
          <w:p w:rsidR="00031521" w:rsidRPr="000102C9" w:rsidRDefault="00031521" w:rsidP="007551C3">
            <w:pPr>
              <w:pStyle w:val="Default"/>
            </w:pPr>
            <w:r w:rsidRPr="000102C9">
              <w:t>Shopm</w:t>
            </w:r>
            <w:r>
              <w:t>o</w:t>
            </w:r>
            <w:r w:rsidRPr="000102C9">
              <w:t>bility -£16,153</w:t>
            </w:r>
          </w:p>
          <w:p w:rsidR="00031521" w:rsidRPr="000102C9" w:rsidRDefault="00031521" w:rsidP="007551C3">
            <w:pPr>
              <w:pStyle w:val="Default"/>
            </w:pPr>
          </w:p>
          <w:p w:rsidR="00031521" w:rsidRPr="000102C9" w:rsidRDefault="00031521" w:rsidP="007551C3">
            <w:pPr>
              <w:pStyle w:val="Default"/>
            </w:pPr>
            <w:r w:rsidRPr="000102C9">
              <w:t>Community cohesion - £12,500</w:t>
            </w:r>
          </w:p>
        </w:tc>
        <w:tc>
          <w:tcPr>
            <w:tcW w:w="2268" w:type="dxa"/>
          </w:tcPr>
          <w:p w:rsidR="00031521" w:rsidRPr="000102C9" w:rsidRDefault="00031521" w:rsidP="00462732">
            <w:pPr>
              <w:spacing w:after="0" w:line="240" w:lineRule="auto"/>
              <w:jc w:val="right"/>
            </w:pPr>
            <w:r>
              <w:t>£25,000</w:t>
            </w:r>
          </w:p>
          <w:p w:rsidR="00031521" w:rsidRPr="000102C9" w:rsidRDefault="00031521" w:rsidP="000102C9">
            <w:pPr>
              <w:spacing w:after="0" w:line="240" w:lineRule="auto"/>
            </w:pPr>
          </w:p>
        </w:tc>
        <w:tc>
          <w:tcPr>
            <w:tcW w:w="2159" w:type="dxa"/>
          </w:tcPr>
          <w:p w:rsidR="00031521" w:rsidRPr="003A2AD0" w:rsidRDefault="00031521" w:rsidP="00462732">
            <w:pPr>
              <w:spacing w:after="0" w:line="240" w:lineRule="auto"/>
              <w:jc w:val="right"/>
            </w:pPr>
            <w:r w:rsidRPr="003A2AD0">
              <w:t>£30,000</w:t>
            </w:r>
          </w:p>
        </w:tc>
      </w:tr>
      <w:tr w:rsidR="00031521" w:rsidRPr="000102C9" w:rsidTr="0077603C">
        <w:tc>
          <w:tcPr>
            <w:tcW w:w="2660" w:type="dxa"/>
            <w:shd w:val="clear" w:color="auto" w:fill="C0C0C0"/>
          </w:tcPr>
          <w:p w:rsidR="00031521" w:rsidRPr="00BF67DF" w:rsidRDefault="00031521" w:rsidP="003478ED">
            <w:pPr>
              <w:pStyle w:val="Default"/>
              <w:rPr>
                <w:b/>
              </w:rPr>
            </w:pPr>
            <w:r w:rsidRPr="00BF67DF">
              <w:rPr>
                <w:b/>
              </w:rPr>
              <w:t>Grade 4 : no longer a relative priority</w:t>
            </w:r>
          </w:p>
        </w:tc>
        <w:tc>
          <w:tcPr>
            <w:tcW w:w="3827" w:type="dxa"/>
            <w:shd w:val="clear" w:color="auto" w:fill="C0C0C0"/>
          </w:tcPr>
          <w:p w:rsidR="00031521" w:rsidRPr="00BF67DF" w:rsidRDefault="00031521" w:rsidP="004D1858">
            <w:pPr>
              <w:spacing w:after="0" w:line="240" w:lineRule="auto"/>
              <w:rPr>
                <w:b/>
              </w:rPr>
            </w:pPr>
            <w:r w:rsidRPr="00BF67DF">
              <w:rPr>
                <w:b/>
              </w:rPr>
              <w:t xml:space="preserve">Key outcomes </w:t>
            </w:r>
          </w:p>
        </w:tc>
        <w:tc>
          <w:tcPr>
            <w:tcW w:w="3260" w:type="dxa"/>
            <w:shd w:val="clear" w:color="auto" w:fill="C0C0C0"/>
          </w:tcPr>
          <w:p w:rsidR="00031521" w:rsidRPr="00BF67DF" w:rsidRDefault="00031521" w:rsidP="004D1858">
            <w:pPr>
              <w:spacing w:after="0" w:line="240" w:lineRule="auto"/>
              <w:rPr>
                <w:b/>
              </w:rPr>
            </w:pPr>
            <w:r w:rsidRPr="00BF67DF">
              <w:rPr>
                <w:b/>
              </w:rPr>
              <w:t>Current spend</w:t>
            </w:r>
          </w:p>
        </w:tc>
        <w:tc>
          <w:tcPr>
            <w:tcW w:w="2268" w:type="dxa"/>
            <w:shd w:val="clear" w:color="auto" w:fill="C0C0C0"/>
          </w:tcPr>
          <w:p w:rsidR="00031521" w:rsidRPr="00BF67DF" w:rsidRDefault="00031521" w:rsidP="004D1858">
            <w:pPr>
              <w:spacing w:after="0" w:line="240" w:lineRule="auto"/>
              <w:rPr>
                <w:b/>
              </w:rPr>
            </w:pPr>
            <w:r w:rsidRPr="00BF67DF">
              <w:rPr>
                <w:b/>
              </w:rPr>
              <w:t>Suggested minimum</w:t>
            </w:r>
          </w:p>
        </w:tc>
        <w:tc>
          <w:tcPr>
            <w:tcW w:w="2159" w:type="dxa"/>
            <w:shd w:val="clear" w:color="auto" w:fill="C0C0C0"/>
          </w:tcPr>
          <w:p w:rsidR="00031521" w:rsidRPr="00BF67DF" w:rsidRDefault="00031521" w:rsidP="004D1858">
            <w:pPr>
              <w:spacing w:after="0" w:line="240" w:lineRule="auto"/>
              <w:rPr>
                <w:b/>
              </w:rPr>
            </w:pPr>
            <w:r w:rsidRPr="00BF67DF">
              <w:rPr>
                <w:b/>
              </w:rPr>
              <w:t>Suggested maximum</w:t>
            </w:r>
          </w:p>
        </w:tc>
      </w:tr>
      <w:tr w:rsidR="00031521" w:rsidRPr="000102C9" w:rsidTr="00FB2679">
        <w:tc>
          <w:tcPr>
            <w:tcW w:w="2660" w:type="dxa"/>
          </w:tcPr>
          <w:p w:rsidR="00031521" w:rsidRPr="000102C9" w:rsidRDefault="00031521" w:rsidP="003478ED">
            <w:pPr>
              <w:pStyle w:val="Default"/>
            </w:pPr>
            <w:r w:rsidRPr="000102C9">
              <w:t>Local infrastructure</w:t>
            </w:r>
          </w:p>
          <w:p w:rsidR="00031521" w:rsidRPr="000102C9" w:rsidRDefault="00031521" w:rsidP="003478ED">
            <w:pPr>
              <w:pStyle w:val="Default"/>
            </w:pPr>
          </w:p>
          <w:p w:rsidR="00031521" w:rsidRPr="000102C9" w:rsidRDefault="00031521" w:rsidP="003478ED">
            <w:pPr>
              <w:pStyle w:val="Default"/>
            </w:pPr>
          </w:p>
        </w:tc>
        <w:tc>
          <w:tcPr>
            <w:tcW w:w="3827" w:type="dxa"/>
          </w:tcPr>
          <w:p w:rsidR="00031521" w:rsidRPr="000102C9" w:rsidRDefault="00031521" w:rsidP="003478ED">
            <w:pPr>
              <w:pStyle w:val="Default"/>
              <w:rPr>
                <w:bCs/>
              </w:rPr>
            </w:pPr>
            <w:r w:rsidRPr="000102C9">
              <w:rPr>
                <w:bCs/>
              </w:rPr>
              <w:t xml:space="preserve">Demonstrate leadership of the Third Sector in </w:t>
            </w:r>
            <w:smartTag w:uri="urn:schemas-microsoft-com:office:smarttags" w:element="PlaceType">
              <w:smartTag w:uri="urn:schemas-microsoft-com:office:smarttags" w:element="City">
                <w:smartTag w:uri="urn:schemas-microsoft-com:office:smarttags" w:element="place">
                  <w:r w:rsidRPr="000102C9">
                    <w:rPr>
                      <w:bCs/>
                    </w:rPr>
                    <w:t>Kettering</w:t>
                  </w:r>
                </w:smartTag>
              </w:smartTag>
            </w:smartTag>
            <w:r w:rsidRPr="000102C9">
              <w:rPr>
                <w:bCs/>
              </w:rPr>
              <w:t xml:space="preserve"> </w:t>
            </w:r>
          </w:p>
          <w:p w:rsidR="00031521" w:rsidRPr="000102C9" w:rsidRDefault="00031521" w:rsidP="003478ED">
            <w:pPr>
              <w:pStyle w:val="Default"/>
              <w:rPr>
                <w:bCs/>
              </w:rPr>
            </w:pPr>
          </w:p>
          <w:p w:rsidR="00031521" w:rsidRPr="000102C9" w:rsidRDefault="00031521" w:rsidP="003478ED">
            <w:pPr>
              <w:pStyle w:val="Default"/>
            </w:pPr>
            <w:r w:rsidRPr="000102C9">
              <w:rPr>
                <w:bCs/>
              </w:rPr>
              <w:t>Volunteering Opportunities</w:t>
            </w:r>
          </w:p>
          <w:p w:rsidR="00031521" w:rsidRPr="000102C9" w:rsidRDefault="00031521" w:rsidP="003478ED">
            <w:pPr>
              <w:pStyle w:val="Default"/>
            </w:pPr>
          </w:p>
        </w:tc>
        <w:tc>
          <w:tcPr>
            <w:tcW w:w="3260" w:type="dxa"/>
          </w:tcPr>
          <w:p w:rsidR="00031521" w:rsidRPr="000102C9" w:rsidRDefault="00031521" w:rsidP="000102C9">
            <w:pPr>
              <w:spacing w:after="0" w:line="240" w:lineRule="auto"/>
              <w:jc w:val="right"/>
            </w:pPr>
            <w:r w:rsidRPr="000102C9">
              <w:t>Total: £21,500</w:t>
            </w:r>
          </w:p>
        </w:tc>
        <w:tc>
          <w:tcPr>
            <w:tcW w:w="2268" w:type="dxa"/>
          </w:tcPr>
          <w:p w:rsidR="00031521" w:rsidRPr="003A2AD0" w:rsidRDefault="00031521" w:rsidP="000102C9">
            <w:pPr>
              <w:spacing w:after="0" w:line="240" w:lineRule="auto"/>
            </w:pPr>
            <w:r w:rsidRPr="003A2AD0">
              <w:t>Nil</w:t>
            </w:r>
          </w:p>
        </w:tc>
        <w:tc>
          <w:tcPr>
            <w:tcW w:w="2159" w:type="dxa"/>
          </w:tcPr>
          <w:p w:rsidR="00031521" w:rsidRPr="003A2AD0" w:rsidRDefault="00031521" w:rsidP="000102C9">
            <w:pPr>
              <w:spacing w:after="0" w:line="240" w:lineRule="auto"/>
            </w:pPr>
            <w:r w:rsidRPr="003A2AD0">
              <w:t>Nil</w:t>
            </w:r>
          </w:p>
        </w:tc>
      </w:tr>
      <w:tr w:rsidR="00031521" w:rsidRPr="000102C9" w:rsidTr="00FB2679">
        <w:tc>
          <w:tcPr>
            <w:tcW w:w="2660" w:type="dxa"/>
          </w:tcPr>
          <w:p w:rsidR="00031521" w:rsidRPr="000102C9" w:rsidRDefault="00031521" w:rsidP="003478ED">
            <w:pPr>
              <w:pStyle w:val="Default"/>
            </w:pPr>
            <w:r w:rsidRPr="000102C9">
              <w:t>Access to Green Services</w:t>
            </w:r>
          </w:p>
          <w:p w:rsidR="00031521" w:rsidRPr="000102C9" w:rsidRDefault="00031521" w:rsidP="003478ED">
            <w:pPr>
              <w:pStyle w:val="Default"/>
            </w:pPr>
          </w:p>
          <w:p w:rsidR="00031521" w:rsidRPr="000102C9" w:rsidRDefault="00031521" w:rsidP="003478ED">
            <w:pPr>
              <w:pStyle w:val="Default"/>
            </w:pPr>
          </w:p>
        </w:tc>
        <w:tc>
          <w:tcPr>
            <w:tcW w:w="3827" w:type="dxa"/>
          </w:tcPr>
          <w:p w:rsidR="00031521" w:rsidRPr="000102C9" w:rsidRDefault="00031521" w:rsidP="000102C9">
            <w:pPr>
              <w:spacing w:after="0" w:line="240" w:lineRule="auto"/>
              <w:jc w:val="both"/>
              <w:rPr>
                <w:bCs/>
              </w:rPr>
            </w:pPr>
            <w:r w:rsidRPr="000102C9">
              <w:rPr>
                <w:bCs/>
              </w:rPr>
              <w:t>To provide members of the public and local organisations (business, public and voluntary sector) with advice and access to green ‘eco’ services to reduce the carbon footprint of the borough and improve biodiversity within the borough</w:t>
            </w:r>
          </w:p>
          <w:p w:rsidR="00031521" w:rsidRPr="000102C9" w:rsidRDefault="00031521" w:rsidP="000102C9">
            <w:pPr>
              <w:spacing w:after="0" w:line="240" w:lineRule="auto"/>
              <w:jc w:val="both"/>
            </w:pPr>
          </w:p>
        </w:tc>
        <w:tc>
          <w:tcPr>
            <w:tcW w:w="3260" w:type="dxa"/>
          </w:tcPr>
          <w:p w:rsidR="00031521" w:rsidRPr="000102C9" w:rsidRDefault="00031521" w:rsidP="000102C9">
            <w:pPr>
              <w:spacing w:after="0" w:line="240" w:lineRule="auto"/>
              <w:jc w:val="right"/>
            </w:pPr>
            <w:r w:rsidRPr="000102C9">
              <w:t>Total : £10,000</w:t>
            </w:r>
          </w:p>
        </w:tc>
        <w:tc>
          <w:tcPr>
            <w:tcW w:w="2268" w:type="dxa"/>
          </w:tcPr>
          <w:p w:rsidR="00031521" w:rsidRPr="003A2AD0" w:rsidRDefault="00031521" w:rsidP="000102C9">
            <w:pPr>
              <w:spacing w:after="0" w:line="240" w:lineRule="auto"/>
            </w:pPr>
            <w:r w:rsidRPr="003A2AD0">
              <w:t>Nil</w:t>
            </w:r>
          </w:p>
        </w:tc>
        <w:tc>
          <w:tcPr>
            <w:tcW w:w="2159" w:type="dxa"/>
          </w:tcPr>
          <w:p w:rsidR="00031521" w:rsidRPr="003A2AD0" w:rsidRDefault="00031521" w:rsidP="000102C9">
            <w:pPr>
              <w:spacing w:after="0" w:line="240" w:lineRule="auto"/>
            </w:pPr>
            <w:r w:rsidRPr="003A2AD0">
              <w:t>Nil</w:t>
            </w:r>
          </w:p>
        </w:tc>
      </w:tr>
      <w:tr w:rsidR="00031521" w:rsidRPr="000102C9" w:rsidTr="00FB2679">
        <w:tc>
          <w:tcPr>
            <w:tcW w:w="2660" w:type="dxa"/>
          </w:tcPr>
          <w:p w:rsidR="00031521" w:rsidRPr="000102C9" w:rsidRDefault="00031521" w:rsidP="003478ED">
            <w:pPr>
              <w:pStyle w:val="Default"/>
            </w:pPr>
            <w:r w:rsidRPr="000102C9">
              <w:t>Core grants and specialist advice</w:t>
            </w:r>
          </w:p>
        </w:tc>
        <w:tc>
          <w:tcPr>
            <w:tcW w:w="3827" w:type="dxa"/>
          </w:tcPr>
          <w:p w:rsidR="00031521" w:rsidRPr="000102C9" w:rsidRDefault="00031521" w:rsidP="000102C9">
            <w:pPr>
              <w:spacing w:after="0" w:line="240" w:lineRule="auto"/>
              <w:jc w:val="both"/>
              <w:rPr>
                <w:bCs/>
              </w:rPr>
            </w:pPr>
          </w:p>
        </w:tc>
        <w:tc>
          <w:tcPr>
            <w:tcW w:w="3260" w:type="dxa"/>
          </w:tcPr>
          <w:p w:rsidR="00031521" w:rsidRPr="000102C9" w:rsidRDefault="00031521" w:rsidP="00297645">
            <w:pPr>
              <w:spacing w:after="0" w:line="240" w:lineRule="auto"/>
              <w:jc w:val="right"/>
            </w:pPr>
            <w:r w:rsidRPr="000102C9">
              <w:t>Total £10,000</w:t>
            </w:r>
          </w:p>
          <w:p w:rsidR="00031521" w:rsidRPr="000102C9" w:rsidRDefault="00031521" w:rsidP="00297645">
            <w:pPr>
              <w:spacing w:after="0" w:line="240" w:lineRule="auto"/>
            </w:pPr>
            <w:r w:rsidRPr="000102C9">
              <w:t>Groundwork trust £5,000</w:t>
            </w:r>
          </w:p>
          <w:p w:rsidR="00031521" w:rsidRDefault="00031521" w:rsidP="00297645">
            <w:pPr>
              <w:spacing w:after="0" w:line="240" w:lineRule="auto"/>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sidRPr="000102C9">
                      <w:t>Rockingham</w:t>
                    </w:r>
                  </w:smartTag>
                </w:smartTag>
                <w:r w:rsidRPr="000102C9">
                  <w:t xml:space="preserve"> </w:t>
                </w:r>
                <w:smartTag w:uri="urn:schemas-microsoft-com:office:smarttags" w:element="PlaceType">
                  <w:r w:rsidRPr="000102C9">
                    <w:t>Forest</w:t>
                  </w:r>
                </w:smartTag>
              </w:smartTag>
            </w:smartTag>
            <w:r w:rsidRPr="000102C9">
              <w:t xml:space="preserve"> trust £5,000</w:t>
            </w:r>
          </w:p>
          <w:p w:rsidR="00031521" w:rsidRPr="000102C9" w:rsidRDefault="00031521" w:rsidP="00354A03">
            <w:pPr>
              <w:spacing w:after="0" w:line="240" w:lineRule="auto"/>
              <w:jc w:val="right"/>
            </w:pPr>
          </w:p>
        </w:tc>
        <w:tc>
          <w:tcPr>
            <w:tcW w:w="2268" w:type="dxa"/>
          </w:tcPr>
          <w:p w:rsidR="00031521" w:rsidRPr="003A2AD0" w:rsidRDefault="00031521" w:rsidP="000102C9">
            <w:pPr>
              <w:spacing w:after="0" w:line="240" w:lineRule="auto"/>
            </w:pPr>
            <w:r w:rsidRPr="003A2AD0">
              <w:t>Nil</w:t>
            </w:r>
          </w:p>
        </w:tc>
        <w:tc>
          <w:tcPr>
            <w:tcW w:w="2159" w:type="dxa"/>
          </w:tcPr>
          <w:p w:rsidR="00031521" w:rsidRPr="003A2AD0" w:rsidRDefault="00031521" w:rsidP="000102C9">
            <w:pPr>
              <w:spacing w:after="0" w:line="240" w:lineRule="auto"/>
            </w:pPr>
            <w:r w:rsidRPr="003A2AD0">
              <w:t xml:space="preserve">Nil </w:t>
            </w:r>
          </w:p>
        </w:tc>
      </w:tr>
      <w:tr w:rsidR="00031521" w:rsidRPr="000102C9" w:rsidTr="00FB2679">
        <w:tc>
          <w:tcPr>
            <w:tcW w:w="2660" w:type="dxa"/>
          </w:tcPr>
          <w:p w:rsidR="00031521" w:rsidRPr="000102C9" w:rsidRDefault="00031521" w:rsidP="003478ED">
            <w:pPr>
              <w:pStyle w:val="Default"/>
            </w:pPr>
          </w:p>
        </w:tc>
        <w:tc>
          <w:tcPr>
            <w:tcW w:w="3827" w:type="dxa"/>
          </w:tcPr>
          <w:p w:rsidR="00031521" w:rsidRPr="000102C9" w:rsidRDefault="00031521" w:rsidP="000102C9">
            <w:pPr>
              <w:spacing w:after="0" w:line="240" w:lineRule="auto"/>
              <w:jc w:val="both"/>
              <w:rPr>
                <w:bCs/>
              </w:rPr>
            </w:pPr>
          </w:p>
        </w:tc>
        <w:tc>
          <w:tcPr>
            <w:tcW w:w="3260" w:type="dxa"/>
          </w:tcPr>
          <w:p w:rsidR="00031521" w:rsidRPr="000102C9" w:rsidRDefault="00031521" w:rsidP="00297645">
            <w:pPr>
              <w:spacing w:after="0" w:line="240" w:lineRule="auto"/>
              <w:jc w:val="right"/>
            </w:pPr>
          </w:p>
        </w:tc>
        <w:tc>
          <w:tcPr>
            <w:tcW w:w="2268" w:type="dxa"/>
          </w:tcPr>
          <w:p w:rsidR="00031521" w:rsidRPr="000102C9" w:rsidRDefault="00031521" w:rsidP="000102C9">
            <w:pPr>
              <w:spacing w:after="0" w:line="240" w:lineRule="auto"/>
            </w:pPr>
          </w:p>
        </w:tc>
        <w:tc>
          <w:tcPr>
            <w:tcW w:w="2159" w:type="dxa"/>
          </w:tcPr>
          <w:p w:rsidR="00031521" w:rsidRPr="000102C9" w:rsidRDefault="00031521" w:rsidP="000102C9">
            <w:pPr>
              <w:spacing w:after="0" w:line="240" w:lineRule="auto"/>
            </w:pPr>
          </w:p>
        </w:tc>
      </w:tr>
      <w:tr w:rsidR="00031521" w:rsidRPr="000102C9" w:rsidTr="00C309AB">
        <w:tc>
          <w:tcPr>
            <w:tcW w:w="2660" w:type="dxa"/>
          </w:tcPr>
          <w:p w:rsidR="00031521" w:rsidRPr="000102C9" w:rsidRDefault="00031521" w:rsidP="003478ED">
            <w:pPr>
              <w:pStyle w:val="Default"/>
            </w:pPr>
            <w:r w:rsidRPr="000102C9">
              <w:t>Reserve / contingency</w:t>
            </w:r>
          </w:p>
        </w:tc>
        <w:tc>
          <w:tcPr>
            <w:tcW w:w="3827" w:type="dxa"/>
          </w:tcPr>
          <w:p w:rsidR="00031521" w:rsidRPr="000102C9" w:rsidRDefault="00031521" w:rsidP="003478ED">
            <w:pPr>
              <w:pStyle w:val="Default"/>
            </w:pPr>
          </w:p>
        </w:tc>
        <w:tc>
          <w:tcPr>
            <w:tcW w:w="3260" w:type="dxa"/>
          </w:tcPr>
          <w:p w:rsidR="00031521" w:rsidRPr="000102C9" w:rsidRDefault="00031521" w:rsidP="000102C9">
            <w:pPr>
              <w:spacing w:after="0" w:line="240" w:lineRule="auto"/>
              <w:jc w:val="right"/>
            </w:pPr>
            <w:r w:rsidRPr="000102C9">
              <w:t>Total £20,009</w:t>
            </w:r>
          </w:p>
        </w:tc>
        <w:tc>
          <w:tcPr>
            <w:tcW w:w="2268" w:type="dxa"/>
          </w:tcPr>
          <w:p w:rsidR="00031521" w:rsidRPr="003A2AD0" w:rsidRDefault="00031521" w:rsidP="009F5386">
            <w:pPr>
              <w:spacing w:after="0" w:line="240" w:lineRule="auto"/>
              <w:jc w:val="right"/>
            </w:pPr>
            <w:r w:rsidRPr="003A2AD0">
              <w:t>£4</w:t>
            </w:r>
            <w:r>
              <w:t>1</w:t>
            </w:r>
            <w:r w:rsidRPr="003A2AD0">
              <w:t>,000</w:t>
            </w:r>
          </w:p>
        </w:tc>
        <w:tc>
          <w:tcPr>
            <w:tcW w:w="2159" w:type="dxa"/>
          </w:tcPr>
          <w:p w:rsidR="00031521" w:rsidRPr="000102C9" w:rsidRDefault="00031521" w:rsidP="000102C9">
            <w:pPr>
              <w:spacing w:after="0" w:line="240" w:lineRule="auto"/>
            </w:pPr>
            <w:r>
              <w:t>£1,000</w:t>
            </w:r>
          </w:p>
        </w:tc>
      </w:tr>
      <w:tr w:rsidR="00031521" w:rsidRPr="00BF67DF" w:rsidTr="00C309AB">
        <w:tc>
          <w:tcPr>
            <w:tcW w:w="2660" w:type="dxa"/>
            <w:shd w:val="clear" w:color="auto" w:fill="C0C0C0"/>
          </w:tcPr>
          <w:p w:rsidR="00031521" w:rsidRPr="00BF67DF" w:rsidRDefault="00031521" w:rsidP="00D2726F">
            <w:pPr>
              <w:pStyle w:val="Default"/>
              <w:rPr>
                <w:b/>
              </w:rPr>
            </w:pPr>
            <w:r w:rsidRPr="00BF67DF">
              <w:rPr>
                <w:b/>
              </w:rPr>
              <w:t>Grand Total Service Level Agreement grants</w:t>
            </w:r>
          </w:p>
        </w:tc>
        <w:tc>
          <w:tcPr>
            <w:tcW w:w="3827" w:type="dxa"/>
            <w:shd w:val="clear" w:color="auto" w:fill="C0C0C0"/>
          </w:tcPr>
          <w:p w:rsidR="00031521" w:rsidRPr="00BF67DF" w:rsidRDefault="00031521" w:rsidP="003478ED">
            <w:pPr>
              <w:pStyle w:val="Default"/>
              <w:rPr>
                <w:b/>
              </w:rPr>
            </w:pPr>
          </w:p>
        </w:tc>
        <w:tc>
          <w:tcPr>
            <w:tcW w:w="3260" w:type="dxa"/>
            <w:shd w:val="clear" w:color="auto" w:fill="C0C0C0"/>
          </w:tcPr>
          <w:p w:rsidR="00031521" w:rsidRPr="00BF67DF" w:rsidRDefault="00031521" w:rsidP="000102C9">
            <w:pPr>
              <w:spacing w:after="0" w:line="240" w:lineRule="auto"/>
              <w:rPr>
                <w:b/>
              </w:rPr>
            </w:pPr>
          </w:p>
          <w:p w:rsidR="00031521" w:rsidRPr="00BF67DF" w:rsidRDefault="00031521" w:rsidP="000102C9">
            <w:pPr>
              <w:spacing w:after="0" w:line="240" w:lineRule="auto"/>
              <w:jc w:val="right"/>
              <w:rPr>
                <w:b/>
              </w:rPr>
            </w:pPr>
            <w:r w:rsidRPr="00BF67DF">
              <w:rPr>
                <w:b/>
              </w:rPr>
              <w:t>Grand total : £297,993</w:t>
            </w:r>
          </w:p>
          <w:p w:rsidR="00031521" w:rsidRPr="00BF67DF" w:rsidRDefault="00031521" w:rsidP="000102C9">
            <w:pPr>
              <w:spacing w:after="0" w:line="240" w:lineRule="auto"/>
              <w:rPr>
                <w:b/>
              </w:rPr>
            </w:pPr>
            <w:r w:rsidRPr="00BF67DF">
              <w:rPr>
                <w:b/>
              </w:rPr>
              <w:t xml:space="preserve">  </w:t>
            </w:r>
          </w:p>
        </w:tc>
        <w:tc>
          <w:tcPr>
            <w:tcW w:w="2268" w:type="dxa"/>
            <w:shd w:val="clear" w:color="auto" w:fill="C0C0C0"/>
          </w:tcPr>
          <w:p w:rsidR="00031521" w:rsidRPr="00BF67DF" w:rsidRDefault="00031521" w:rsidP="000102C9">
            <w:pPr>
              <w:spacing w:after="0" w:line="240" w:lineRule="auto"/>
              <w:rPr>
                <w:b/>
                <w:color w:val="FF6600"/>
              </w:rPr>
            </w:pPr>
          </w:p>
          <w:p w:rsidR="00031521" w:rsidRPr="00BF67DF" w:rsidRDefault="00031521" w:rsidP="009F5386">
            <w:pPr>
              <w:spacing w:after="0" w:line="240" w:lineRule="auto"/>
              <w:jc w:val="right"/>
              <w:rPr>
                <w:b/>
              </w:rPr>
            </w:pPr>
            <w:r w:rsidRPr="00BF67DF">
              <w:rPr>
                <w:b/>
              </w:rPr>
              <w:t>Grand total: £</w:t>
            </w:r>
            <w:bookmarkStart w:id="0" w:name="_GoBack"/>
            <w:bookmarkEnd w:id="0"/>
            <w:r w:rsidRPr="00BF67DF">
              <w:rPr>
                <w:b/>
              </w:rPr>
              <w:t>300,000</w:t>
            </w:r>
          </w:p>
        </w:tc>
        <w:tc>
          <w:tcPr>
            <w:tcW w:w="2159" w:type="dxa"/>
            <w:shd w:val="clear" w:color="auto" w:fill="C0C0C0"/>
          </w:tcPr>
          <w:p w:rsidR="00031521" w:rsidRPr="00BF67DF" w:rsidRDefault="00031521" w:rsidP="000102C9">
            <w:pPr>
              <w:spacing w:after="0" w:line="240" w:lineRule="auto"/>
              <w:rPr>
                <w:b/>
              </w:rPr>
            </w:pPr>
          </w:p>
          <w:p w:rsidR="00031521" w:rsidRPr="00BF67DF" w:rsidRDefault="00031521" w:rsidP="000102C9">
            <w:pPr>
              <w:spacing w:after="0" w:line="240" w:lineRule="auto"/>
              <w:rPr>
                <w:b/>
              </w:rPr>
            </w:pPr>
            <w:r w:rsidRPr="00BF67DF">
              <w:rPr>
                <w:b/>
              </w:rPr>
              <w:t>Grand total:£300,000</w:t>
            </w:r>
          </w:p>
        </w:tc>
      </w:tr>
    </w:tbl>
    <w:p w:rsidR="00031521" w:rsidRDefault="00031521" w:rsidP="00D2726F"/>
    <w:sectPr w:rsidR="00031521" w:rsidSect="00DF619E">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47454"/>
    <w:multiLevelType w:val="hybridMultilevel"/>
    <w:tmpl w:val="784A17FC"/>
    <w:lvl w:ilvl="0" w:tplc="69BA84BA">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706C93"/>
    <w:multiLevelType w:val="hybridMultilevel"/>
    <w:tmpl w:val="C78611FC"/>
    <w:lvl w:ilvl="0" w:tplc="29227804">
      <w:start w:val="3"/>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619E"/>
    <w:rsid w:val="000102C9"/>
    <w:rsid w:val="00020DBC"/>
    <w:rsid w:val="00031521"/>
    <w:rsid w:val="000562CD"/>
    <w:rsid w:val="000C000B"/>
    <w:rsid w:val="000D70B3"/>
    <w:rsid w:val="000E2FA0"/>
    <w:rsid w:val="000F1930"/>
    <w:rsid w:val="00103E4E"/>
    <w:rsid w:val="001645DA"/>
    <w:rsid w:val="00193E27"/>
    <w:rsid w:val="001D4596"/>
    <w:rsid w:val="001E5A60"/>
    <w:rsid w:val="001F4ECB"/>
    <w:rsid w:val="00221C9B"/>
    <w:rsid w:val="00226333"/>
    <w:rsid w:val="00234528"/>
    <w:rsid w:val="0024494F"/>
    <w:rsid w:val="00254A4A"/>
    <w:rsid w:val="00283786"/>
    <w:rsid w:val="00297645"/>
    <w:rsid w:val="002A7F64"/>
    <w:rsid w:val="002E51F1"/>
    <w:rsid w:val="002F2DA4"/>
    <w:rsid w:val="00326D5D"/>
    <w:rsid w:val="00333A75"/>
    <w:rsid w:val="0033598A"/>
    <w:rsid w:val="003478ED"/>
    <w:rsid w:val="00351B3B"/>
    <w:rsid w:val="00354798"/>
    <w:rsid w:val="00354A03"/>
    <w:rsid w:val="00394A6C"/>
    <w:rsid w:val="003A2AD0"/>
    <w:rsid w:val="003B0103"/>
    <w:rsid w:val="003B7FF1"/>
    <w:rsid w:val="003E2B25"/>
    <w:rsid w:val="00400F4C"/>
    <w:rsid w:val="00402E0A"/>
    <w:rsid w:val="00404C5A"/>
    <w:rsid w:val="00423744"/>
    <w:rsid w:val="00462732"/>
    <w:rsid w:val="004802DF"/>
    <w:rsid w:val="00497A47"/>
    <w:rsid w:val="004B2B05"/>
    <w:rsid w:val="004C2646"/>
    <w:rsid w:val="004C5678"/>
    <w:rsid w:val="004D1858"/>
    <w:rsid w:val="004E6825"/>
    <w:rsid w:val="004E7215"/>
    <w:rsid w:val="004F5D67"/>
    <w:rsid w:val="00563272"/>
    <w:rsid w:val="00596B4B"/>
    <w:rsid w:val="005D7410"/>
    <w:rsid w:val="005D7B47"/>
    <w:rsid w:val="005E6313"/>
    <w:rsid w:val="005F5AD8"/>
    <w:rsid w:val="00601861"/>
    <w:rsid w:val="00640C57"/>
    <w:rsid w:val="00664038"/>
    <w:rsid w:val="006A1082"/>
    <w:rsid w:val="006B0ECB"/>
    <w:rsid w:val="006D033D"/>
    <w:rsid w:val="006D6C37"/>
    <w:rsid w:val="006E6AC9"/>
    <w:rsid w:val="006F61EA"/>
    <w:rsid w:val="0070068B"/>
    <w:rsid w:val="00710D30"/>
    <w:rsid w:val="0074381A"/>
    <w:rsid w:val="007551C3"/>
    <w:rsid w:val="0077603C"/>
    <w:rsid w:val="00791363"/>
    <w:rsid w:val="007A69DF"/>
    <w:rsid w:val="007C5AFF"/>
    <w:rsid w:val="007D4CE0"/>
    <w:rsid w:val="007D4F03"/>
    <w:rsid w:val="007E15E6"/>
    <w:rsid w:val="007F22DD"/>
    <w:rsid w:val="008257BC"/>
    <w:rsid w:val="00852811"/>
    <w:rsid w:val="00861FDE"/>
    <w:rsid w:val="008F4D1A"/>
    <w:rsid w:val="00905899"/>
    <w:rsid w:val="00906531"/>
    <w:rsid w:val="009A52A6"/>
    <w:rsid w:val="009F5386"/>
    <w:rsid w:val="00B05CFC"/>
    <w:rsid w:val="00B377D8"/>
    <w:rsid w:val="00B4335E"/>
    <w:rsid w:val="00B62400"/>
    <w:rsid w:val="00B80A6D"/>
    <w:rsid w:val="00B8250C"/>
    <w:rsid w:val="00BF406F"/>
    <w:rsid w:val="00BF67DF"/>
    <w:rsid w:val="00C309AB"/>
    <w:rsid w:val="00C31178"/>
    <w:rsid w:val="00C65218"/>
    <w:rsid w:val="00C84C95"/>
    <w:rsid w:val="00CC2448"/>
    <w:rsid w:val="00CD0777"/>
    <w:rsid w:val="00CD1BBF"/>
    <w:rsid w:val="00D2726F"/>
    <w:rsid w:val="00D61BC2"/>
    <w:rsid w:val="00D7274A"/>
    <w:rsid w:val="00D86FC9"/>
    <w:rsid w:val="00DD0C23"/>
    <w:rsid w:val="00DD2D9C"/>
    <w:rsid w:val="00DF619E"/>
    <w:rsid w:val="00E41953"/>
    <w:rsid w:val="00E46FDB"/>
    <w:rsid w:val="00EB0C09"/>
    <w:rsid w:val="00EF4027"/>
    <w:rsid w:val="00F2294D"/>
    <w:rsid w:val="00F81414"/>
    <w:rsid w:val="00F96192"/>
    <w:rsid w:val="00FA02FA"/>
    <w:rsid w:val="00FB2679"/>
    <w:rsid w:val="00FC0D02"/>
    <w:rsid w:val="00FD1436"/>
    <w:rsid w:val="00FD72E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4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F619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257BC"/>
    <w:pPr>
      <w:autoSpaceDE w:val="0"/>
      <w:autoSpaceDN w:val="0"/>
      <w:adjustRightInd w:val="0"/>
    </w:pPr>
    <w:rPr>
      <w:rFonts w:cs="Calibri"/>
      <w:color w:val="000000"/>
      <w:sz w:val="24"/>
      <w:szCs w:val="24"/>
      <w:lang w:eastAsia="en-US"/>
    </w:rPr>
  </w:style>
  <w:style w:type="paragraph" w:styleId="ListParagraph">
    <w:name w:val="List Paragraph"/>
    <w:basedOn w:val="Normal"/>
    <w:uiPriority w:val="99"/>
    <w:qFormat/>
    <w:rsid w:val="006F61E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599</Words>
  <Characters>3419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 1 : Require an increase</dc:title>
  <dc:subject/>
  <dc:creator>Fred</dc:creator>
  <cp:keywords/>
  <dc:description/>
  <cp:lastModifiedBy>vhitc</cp:lastModifiedBy>
  <cp:revision>3</cp:revision>
  <dcterms:created xsi:type="dcterms:W3CDTF">2012-07-02T15:50:00Z</dcterms:created>
  <dcterms:modified xsi:type="dcterms:W3CDTF">2012-07-02T16:01:00Z</dcterms:modified>
</cp:coreProperties>
</file>