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05" w:rsidRDefault="00FF7905" w:rsidP="003952FD">
      <w:pPr>
        <w:jc w:val="center"/>
        <w:rPr>
          <w:rFonts w:ascii="Arial" w:hAnsi="Arial" w:cs="Arial"/>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45pt;width:162pt;height:64.8pt;z-index:251658240" fillcolor="#9c9" strokecolor="#036">
            <v:imagedata r:id="rId5" o:title=""/>
            <v:shadow color="#036"/>
          </v:shape>
        </w:pict>
      </w:r>
    </w:p>
    <w:p w:rsidR="00FF7905" w:rsidRPr="00451D7C" w:rsidRDefault="00FF7905" w:rsidP="003952FD">
      <w:pPr>
        <w:jc w:val="center"/>
        <w:rPr>
          <w:rFonts w:ascii="Arial" w:hAnsi="Arial" w:cs="Arial"/>
          <w:b/>
          <w:sz w:val="24"/>
          <w:szCs w:val="24"/>
        </w:rPr>
      </w:pPr>
      <w:r w:rsidRPr="00451D7C">
        <w:rPr>
          <w:rFonts w:ascii="Arial" w:hAnsi="Arial" w:cs="Arial"/>
          <w:b/>
          <w:sz w:val="24"/>
          <w:szCs w:val="24"/>
        </w:rPr>
        <w:t>TENANTS FORUM</w:t>
      </w:r>
    </w:p>
    <w:p w:rsidR="00FF7905" w:rsidRPr="00451D7C" w:rsidRDefault="00FF7905" w:rsidP="003952FD">
      <w:pPr>
        <w:jc w:val="center"/>
        <w:rPr>
          <w:rFonts w:ascii="Arial" w:hAnsi="Arial" w:cs="Arial"/>
          <w:b/>
          <w:sz w:val="24"/>
          <w:szCs w:val="24"/>
        </w:rPr>
      </w:pPr>
      <w:r w:rsidRPr="00451D7C">
        <w:rPr>
          <w:rFonts w:ascii="Arial" w:hAnsi="Arial" w:cs="Arial"/>
          <w:b/>
          <w:sz w:val="24"/>
          <w:szCs w:val="24"/>
        </w:rPr>
        <w:t>9 February 2012</w:t>
      </w:r>
    </w:p>
    <w:p w:rsidR="00FF7905" w:rsidRPr="003952FD" w:rsidRDefault="00FF7905" w:rsidP="003952FD">
      <w:pPr>
        <w:jc w:val="center"/>
        <w:rPr>
          <w:rFonts w:ascii="Arial" w:hAnsi="Arial" w:cs="Arial"/>
          <w:b/>
          <w:sz w:val="28"/>
          <w:szCs w:val="28"/>
        </w:rPr>
      </w:pPr>
      <w:r>
        <w:rPr>
          <w:rFonts w:ascii="Arial" w:hAnsi="Arial" w:cs="Arial"/>
          <w:b/>
          <w:sz w:val="28"/>
          <w:szCs w:val="28"/>
        </w:rPr>
        <w:t>HRA CAPITAL PROGRAMME 2012/13</w:t>
      </w:r>
    </w:p>
    <w:p w:rsidR="00FF7905" w:rsidRDefault="00FF7905">
      <w:pPr>
        <w:rPr>
          <w:rFonts w:ascii="Arial" w:hAnsi="Arial" w:cs="Arial"/>
          <w:sz w:val="24"/>
          <w:szCs w:val="24"/>
        </w:rPr>
      </w:pPr>
    </w:p>
    <w:p w:rsidR="00FF7905" w:rsidRDefault="00FF7905">
      <w:pPr>
        <w:rPr>
          <w:rFonts w:ascii="Arial" w:hAnsi="Arial" w:cs="Arial"/>
          <w:sz w:val="24"/>
          <w:szCs w:val="24"/>
        </w:rPr>
      </w:pPr>
      <w:r>
        <w:rPr>
          <w:noProof/>
          <w:lang w:eastAsia="en-GB"/>
        </w:rPr>
        <w:pict>
          <v:shapetype id="_x0000_t202" coordsize="21600,21600" o:spt="202" path="m,l,21600r21600,l21600,xe">
            <v:stroke joinstyle="miter"/>
            <v:path gradientshapeok="t" o:connecttype="rect"/>
          </v:shapetype>
          <v:shape id="_x0000_s1027" type="#_x0000_t202" style="position:absolute;margin-left:10pt;margin-top:.75pt;width:441.75pt;height:110.25pt;z-index:251659264">
            <v:textbox>
              <w:txbxContent>
                <w:p w:rsidR="00FF7905" w:rsidRDefault="00FF7905" w:rsidP="005531BA">
                  <w:pPr>
                    <w:spacing w:after="0"/>
                    <w:rPr>
                      <w:rFonts w:ascii="Arial" w:hAnsi="Arial" w:cs="Arial"/>
                      <w:b/>
                      <w:sz w:val="24"/>
                      <w:szCs w:val="24"/>
                    </w:rPr>
                  </w:pPr>
                </w:p>
                <w:p w:rsidR="00FF7905" w:rsidRPr="00EB73A3" w:rsidRDefault="00FF7905" w:rsidP="005531BA">
                  <w:pPr>
                    <w:spacing w:after="0"/>
                    <w:rPr>
                      <w:rFonts w:ascii="Arial" w:hAnsi="Arial" w:cs="Arial"/>
                      <w:b/>
                      <w:sz w:val="24"/>
                      <w:szCs w:val="24"/>
                    </w:rPr>
                  </w:pPr>
                  <w:r w:rsidRPr="00EB73A3">
                    <w:rPr>
                      <w:rFonts w:ascii="Arial" w:hAnsi="Arial" w:cs="Arial"/>
                      <w:b/>
                      <w:sz w:val="24"/>
                      <w:szCs w:val="24"/>
                    </w:rPr>
                    <w:t>PURPOSE OF REPORT</w:t>
                  </w:r>
                </w:p>
                <w:p w:rsidR="00FF7905" w:rsidRPr="00EB73A3" w:rsidRDefault="00FF7905" w:rsidP="005531BA">
                  <w:pPr>
                    <w:spacing w:after="0"/>
                    <w:jc w:val="both"/>
                    <w:rPr>
                      <w:rFonts w:ascii="Arial" w:hAnsi="Arial" w:cs="Arial"/>
                      <w:sz w:val="24"/>
                      <w:szCs w:val="24"/>
                    </w:rPr>
                  </w:pPr>
                  <w:r w:rsidRPr="00EB73A3">
                    <w:rPr>
                      <w:rFonts w:ascii="Arial" w:hAnsi="Arial" w:cs="Arial"/>
                      <w:sz w:val="24"/>
                      <w:szCs w:val="24"/>
                    </w:rPr>
                    <w:t xml:space="preserve">This report </w:t>
                  </w:r>
                  <w:r>
                    <w:rPr>
                      <w:rFonts w:ascii="Arial" w:hAnsi="Arial" w:cs="Arial"/>
                      <w:sz w:val="24"/>
                      <w:szCs w:val="24"/>
                    </w:rPr>
                    <w:t>contains information on the draft capital programme for 2012/13 and discusses the impact of the new funding regime for the Housing Revenue Account (HRA) on the Council’s plans to invest in its housing stock.</w:t>
                  </w:r>
                </w:p>
              </w:txbxContent>
            </v:textbox>
          </v:shape>
        </w:pict>
      </w:r>
    </w:p>
    <w:p w:rsidR="00FF7905" w:rsidRDefault="00FF7905" w:rsidP="00284672">
      <w:pPr>
        <w:spacing w:line="240" w:lineRule="auto"/>
        <w:rPr>
          <w:rFonts w:ascii="Arial" w:hAnsi="Arial" w:cs="Arial"/>
          <w:sz w:val="24"/>
          <w:szCs w:val="24"/>
        </w:rPr>
      </w:pPr>
    </w:p>
    <w:p w:rsidR="00FF7905"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rPr>
          <w:rFonts w:ascii="Arial" w:hAnsi="Arial" w:cs="Arial"/>
          <w:b/>
          <w:sz w:val="24"/>
          <w:szCs w:val="24"/>
        </w:rPr>
      </w:pPr>
    </w:p>
    <w:p w:rsidR="00FF7905" w:rsidRPr="00D85C15" w:rsidRDefault="00FF7905" w:rsidP="00451D7C">
      <w:pPr>
        <w:spacing w:after="0" w:line="240" w:lineRule="auto"/>
        <w:ind w:left="360"/>
        <w:rPr>
          <w:rFonts w:ascii="Arial" w:hAnsi="Arial" w:cs="Arial"/>
          <w:b/>
          <w:sz w:val="24"/>
          <w:szCs w:val="24"/>
        </w:rPr>
      </w:pPr>
      <w:r w:rsidRPr="00D85C15">
        <w:rPr>
          <w:rFonts w:ascii="Arial" w:hAnsi="Arial" w:cs="Arial"/>
          <w:b/>
          <w:sz w:val="24"/>
          <w:szCs w:val="24"/>
        </w:rPr>
        <w:t>BACKGROUND INFORMATION</w:t>
      </w:r>
    </w:p>
    <w:p w:rsidR="00FF7905" w:rsidRDefault="00FF7905" w:rsidP="00451D7C">
      <w:pPr>
        <w:spacing w:after="0" w:line="240" w:lineRule="auto"/>
        <w:ind w:left="360"/>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r w:rsidRPr="0077567F">
        <w:rPr>
          <w:rFonts w:ascii="Arial" w:hAnsi="Arial" w:cs="Arial"/>
          <w:sz w:val="24"/>
          <w:szCs w:val="24"/>
        </w:rPr>
        <w:t>The H</w:t>
      </w:r>
      <w:r>
        <w:rPr>
          <w:rFonts w:ascii="Arial" w:hAnsi="Arial" w:cs="Arial"/>
          <w:sz w:val="24"/>
          <w:szCs w:val="24"/>
        </w:rPr>
        <w:t>ousing Capital Programme helps the Council to keep its property in good physical condition through comprehensive refurbishment projects and the replacement of building elements such as roofs, windows and boilers. It also plays an important role in improving the quality of life for tenants by investment in environmental improvements and better security.</w:t>
      </w:r>
    </w:p>
    <w:p w:rsidR="00FF7905" w:rsidRDefault="00FF7905" w:rsidP="005531BA">
      <w:pPr>
        <w:spacing w:after="0" w:line="240" w:lineRule="auto"/>
        <w:ind w:left="360"/>
        <w:jc w:val="both"/>
        <w:rPr>
          <w:rFonts w:ascii="Arial" w:hAnsi="Arial" w:cs="Arial"/>
          <w:sz w:val="24"/>
          <w:szCs w:val="24"/>
        </w:rPr>
      </w:pPr>
    </w:p>
    <w:p w:rsidR="00FF7905" w:rsidRPr="0077567F" w:rsidRDefault="00FF7905" w:rsidP="005531BA">
      <w:pPr>
        <w:spacing w:after="0" w:line="240" w:lineRule="auto"/>
        <w:ind w:left="360"/>
        <w:jc w:val="both"/>
        <w:rPr>
          <w:rFonts w:ascii="Arial" w:hAnsi="Arial" w:cs="Arial"/>
          <w:sz w:val="24"/>
          <w:szCs w:val="24"/>
        </w:rPr>
      </w:pPr>
      <w:r>
        <w:rPr>
          <w:rFonts w:ascii="Arial" w:hAnsi="Arial" w:cs="Arial"/>
          <w:sz w:val="24"/>
          <w:szCs w:val="24"/>
        </w:rPr>
        <w:t xml:space="preserve">In the current financial year, £2.508 million will be invested in improving the Council’s housing stock.   </w:t>
      </w:r>
    </w:p>
    <w:p w:rsidR="00FF7905" w:rsidRDefault="00FF7905" w:rsidP="005531BA">
      <w:pPr>
        <w:spacing w:after="0" w:line="240" w:lineRule="auto"/>
        <w:ind w:left="360"/>
        <w:jc w:val="both"/>
        <w:rPr>
          <w:rFonts w:ascii="Arial" w:hAnsi="Arial" w:cs="Arial"/>
          <w:b/>
          <w:sz w:val="24"/>
          <w:szCs w:val="24"/>
        </w:rPr>
      </w:pPr>
    </w:p>
    <w:p w:rsidR="00FF7905" w:rsidRDefault="00FF7905" w:rsidP="005531BA">
      <w:pPr>
        <w:spacing w:after="0" w:line="240" w:lineRule="auto"/>
        <w:ind w:left="360"/>
        <w:jc w:val="both"/>
        <w:rPr>
          <w:rFonts w:ascii="Arial" w:hAnsi="Arial" w:cs="Arial"/>
          <w:b/>
          <w:sz w:val="24"/>
          <w:szCs w:val="24"/>
        </w:rPr>
      </w:pPr>
      <w:r>
        <w:rPr>
          <w:rFonts w:ascii="Arial" w:hAnsi="Arial" w:cs="Arial"/>
          <w:b/>
          <w:sz w:val="24"/>
          <w:szCs w:val="24"/>
        </w:rPr>
        <w:t>DRAFT PROGRAMME FOR 2012/13</w:t>
      </w:r>
    </w:p>
    <w:p w:rsidR="00FF7905" w:rsidRDefault="00FF7905" w:rsidP="005531BA">
      <w:pPr>
        <w:spacing w:after="0" w:line="240" w:lineRule="auto"/>
        <w:ind w:left="360"/>
        <w:jc w:val="both"/>
        <w:rPr>
          <w:rFonts w:ascii="Arial" w:hAnsi="Arial" w:cs="Arial"/>
          <w:b/>
          <w:sz w:val="24"/>
          <w:szCs w:val="24"/>
        </w:rPr>
      </w:pPr>
    </w:p>
    <w:p w:rsidR="00FF7905" w:rsidRDefault="00FF7905" w:rsidP="005531BA">
      <w:pPr>
        <w:spacing w:after="0" w:line="240" w:lineRule="auto"/>
        <w:ind w:left="360"/>
        <w:jc w:val="both"/>
        <w:rPr>
          <w:rFonts w:ascii="Arial" w:hAnsi="Arial" w:cs="Arial"/>
          <w:sz w:val="24"/>
          <w:szCs w:val="24"/>
        </w:rPr>
      </w:pPr>
      <w:r>
        <w:rPr>
          <w:rFonts w:ascii="Arial" w:hAnsi="Arial" w:cs="Arial"/>
          <w:sz w:val="24"/>
          <w:szCs w:val="24"/>
        </w:rPr>
        <w:t xml:space="preserve">Subject to approval of the proposed rent increase for 2012/13, it is planned to implement a capital programme of £2.537 million. </w:t>
      </w:r>
    </w:p>
    <w:p w:rsidR="00FF7905" w:rsidRDefault="00FF7905" w:rsidP="005531BA">
      <w:pPr>
        <w:spacing w:after="0" w:line="240" w:lineRule="auto"/>
        <w:ind w:left="360"/>
        <w:jc w:val="both"/>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r>
        <w:rPr>
          <w:rFonts w:ascii="Arial" w:hAnsi="Arial" w:cs="Arial"/>
          <w:sz w:val="24"/>
          <w:szCs w:val="24"/>
        </w:rPr>
        <w:t xml:space="preserve">In 2012/13, the capital programme will focus primarily on the renewal of kitchens, bathrooms and central heating systems. However, there will also be significant investment in disabled adaptations with resources increasing from £240,000 in this financial year to £381,000 next year. </w:t>
      </w:r>
    </w:p>
    <w:p w:rsidR="00FF7905" w:rsidRDefault="00FF7905" w:rsidP="005531BA">
      <w:pPr>
        <w:spacing w:after="0" w:line="240" w:lineRule="auto"/>
        <w:ind w:left="360"/>
        <w:jc w:val="both"/>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r>
        <w:rPr>
          <w:rFonts w:ascii="Arial" w:hAnsi="Arial" w:cs="Arial"/>
          <w:sz w:val="24"/>
          <w:szCs w:val="24"/>
        </w:rPr>
        <w:t xml:space="preserve">A capital budget for major works to void properties was put in place for the first time in 2011/12 and this will be retained in 2012/13.  A total budget of £150,000 which has been earmarked for major works to void properties will help to ensure that properties are let to new tenants in good condition.          </w:t>
      </w:r>
    </w:p>
    <w:p w:rsidR="00FF7905" w:rsidRDefault="00FF7905" w:rsidP="005531BA">
      <w:pPr>
        <w:spacing w:after="0" w:line="240" w:lineRule="auto"/>
        <w:ind w:left="360"/>
        <w:jc w:val="both"/>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r>
        <w:rPr>
          <w:rFonts w:ascii="Arial" w:hAnsi="Arial" w:cs="Arial"/>
          <w:sz w:val="24"/>
          <w:szCs w:val="24"/>
        </w:rPr>
        <w:t>The table overleaf gives a breakdown of the proposed capital programme for 2012/13:</w:t>
      </w:r>
    </w:p>
    <w:p w:rsidR="00FF7905" w:rsidRDefault="00FF7905" w:rsidP="005531BA">
      <w:pPr>
        <w:spacing w:after="0" w:line="240" w:lineRule="auto"/>
        <w:ind w:left="360"/>
        <w:jc w:val="both"/>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p>
    <w:p w:rsidR="00FF7905" w:rsidRDefault="00FF7905" w:rsidP="005531BA">
      <w:pPr>
        <w:spacing w:after="0" w:line="240" w:lineRule="auto"/>
        <w:ind w:left="360"/>
        <w:jc w:val="both"/>
        <w:rPr>
          <w:rFonts w:ascii="Arial" w:hAnsi="Arial" w:cs="Arial"/>
          <w:sz w:val="24"/>
          <w:szCs w:val="24"/>
        </w:rPr>
      </w:pPr>
    </w:p>
    <w:p w:rsidR="00FF7905" w:rsidRPr="00391ABF" w:rsidRDefault="00FF7905" w:rsidP="00451D7C">
      <w:pPr>
        <w:spacing w:after="0" w:line="240" w:lineRule="auto"/>
        <w:ind w:left="360"/>
        <w:rPr>
          <w:rFonts w:ascii="Arial" w:hAnsi="Arial" w:cs="Arial"/>
          <w:b/>
          <w:sz w:val="24"/>
          <w:szCs w:val="24"/>
        </w:rPr>
      </w:pPr>
      <w:r w:rsidRPr="00391ABF">
        <w:rPr>
          <w:rFonts w:ascii="Arial" w:hAnsi="Arial" w:cs="Arial"/>
          <w:b/>
          <w:sz w:val="24"/>
          <w:szCs w:val="24"/>
        </w:rPr>
        <w:t xml:space="preserve">DRAFT HRA CAPITAL PROGRAMME 2012/13 </w:t>
      </w:r>
    </w:p>
    <w:p w:rsidR="00FF7905" w:rsidRDefault="00FF7905" w:rsidP="00451D7C">
      <w:pPr>
        <w:spacing w:after="0" w:line="240" w:lineRule="auto"/>
        <w:ind w:left="360"/>
        <w:rPr>
          <w:rFonts w:ascii="Arial" w:hAnsi="Arial" w:cs="Arial"/>
          <w:sz w:val="24"/>
          <w:szCs w:val="24"/>
        </w:rPr>
      </w:pPr>
    </w:p>
    <w:tbl>
      <w:tblPr>
        <w:tblW w:w="8820" w:type="dxa"/>
        <w:tblInd w:w="360"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836"/>
        <w:gridCol w:w="1984"/>
      </w:tblGrid>
      <w:tr w:rsidR="00FF7905" w:rsidRPr="0048016D" w:rsidTr="00A0047B">
        <w:trPr>
          <w:tblHeader/>
        </w:trPr>
        <w:tc>
          <w:tcPr>
            <w:tcW w:w="6836" w:type="dxa"/>
          </w:tcPr>
          <w:p w:rsidR="00FF7905" w:rsidRPr="00A0047B" w:rsidRDefault="00FF7905" w:rsidP="00A0047B">
            <w:pPr>
              <w:spacing w:line="240" w:lineRule="auto"/>
              <w:rPr>
                <w:rFonts w:ascii="Arial" w:hAnsi="Arial" w:cs="Arial"/>
                <w:i/>
                <w:sz w:val="24"/>
                <w:szCs w:val="24"/>
              </w:rPr>
            </w:pPr>
            <w:r w:rsidRPr="00A0047B">
              <w:rPr>
                <w:rFonts w:ascii="Arial" w:hAnsi="Arial" w:cs="Arial"/>
                <w:i/>
                <w:sz w:val="24"/>
                <w:szCs w:val="24"/>
              </w:rPr>
              <w:t>Project</w:t>
            </w:r>
          </w:p>
        </w:tc>
        <w:tc>
          <w:tcPr>
            <w:tcW w:w="1984" w:type="dxa"/>
          </w:tcPr>
          <w:p w:rsidR="00FF7905" w:rsidRPr="00A0047B" w:rsidRDefault="00FF7905" w:rsidP="00A0047B">
            <w:pPr>
              <w:spacing w:line="240" w:lineRule="auto"/>
              <w:jc w:val="right"/>
              <w:rPr>
                <w:rFonts w:ascii="Arial" w:hAnsi="Arial" w:cs="Arial"/>
                <w:i/>
                <w:sz w:val="24"/>
                <w:szCs w:val="24"/>
              </w:rPr>
            </w:pPr>
            <w:r w:rsidRPr="00A0047B">
              <w:rPr>
                <w:rFonts w:ascii="Arial" w:hAnsi="Arial" w:cs="Arial"/>
                <w:i/>
                <w:sz w:val="24"/>
                <w:szCs w:val="24"/>
              </w:rPr>
              <w:t>£000’s</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kitchen and bathroom renewal</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341</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Door entry systems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39</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Decent homes – window renewals </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88</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central heating</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230</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replacement oil tanks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43</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re-roofing</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55</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Decent homes – external wall repairs </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59</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Improving access for disabled people</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381</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electrical upgrades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138</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fire doors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64</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fire precautions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66</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Composite door replacements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172</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Structural improvements </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150</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Major voids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150</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External wall insulation</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166</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Loft and internal wall insulation</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111</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Environmental improvements – Highfields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35</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Decent homes – other works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111</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Sheltered housing – external areas </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44</w:t>
            </w:r>
          </w:p>
        </w:tc>
      </w:tr>
      <w:tr w:rsidR="00FF7905" w:rsidRPr="0048016D" w:rsidTr="00A0047B">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Conversion of warden’s flat – The Lawns</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44</w:t>
            </w:r>
          </w:p>
        </w:tc>
      </w:tr>
      <w:tr w:rsidR="00FF7905" w:rsidRPr="0048016D" w:rsidTr="00CE78CF">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Communal areas – </w:t>
            </w:r>
            <w:smartTag w:uri="urn:schemas-microsoft-com:office:smarttags" w:element="address">
              <w:smartTag w:uri="urn:schemas-microsoft-com:office:smarttags" w:element="Street">
                <w:r w:rsidRPr="00A0047B">
                  <w:rPr>
                    <w:rFonts w:ascii="Arial" w:hAnsi="Arial" w:cs="Arial"/>
                    <w:sz w:val="24"/>
                    <w:szCs w:val="24"/>
                  </w:rPr>
                  <w:t>Hampden Crescent</w:t>
                </w:r>
              </w:smartTag>
            </w:smartTag>
            <w:r w:rsidRPr="00A0047B">
              <w:rPr>
                <w:rFonts w:ascii="Arial" w:hAnsi="Arial" w:cs="Arial"/>
                <w:sz w:val="24"/>
                <w:szCs w:val="24"/>
              </w:rPr>
              <w:t xml:space="preserve"> </w:t>
            </w:r>
          </w:p>
        </w:tc>
        <w:tc>
          <w:tcPr>
            <w:tcW w:w="1984" w:type="dxa"/>
          </w:tcPr>
          <w:p w:rsidR="00FF7905" w:rsidRPr="00A0047B" w:rsidRDefault="00FF7905" w:rsidP="00A0047B">
            <w:pPr>
              <w:spacing w:line="240" w:lineRule="auto"/>
              <w:jc w:val="right"/>
              <w:rPr>
                <w:rFonts w:ascii="Arial" w:hAnsi="Arial" w:cs="Arial"/>
                <w:sz w:val="24"/>
                <w:szCs w:val="24"/>
              </w:rPr>
            </w:pPr>
            <w:r w:rsidRPr="00A0047B">
              <w:rPr>
                <w:rFonts w:ascii="Arial" w:hAnsi="Arial" w:cs="Arial"/>
                <w:sz w:val="24"/>
                <w:szCs w:val="24"/>
              </w:rPr>
              <w:t>50</w:t>
            </w:r>
          </w:p>
        </w:tc>
      </w:tr>
      <w:tr w:rsidR="00FF7905" w:rsidRPr="0048016D" w:rsidTr="00CE78CF">
        <w:tc>
          <w:tcPr>
            <w:tcW w:w="6836" w:type="dxa"/>
          </w:tcPr>
          <w:p w:rsidR="00FF7905" w:rsidRPr="00A0047B" w:rsidRDefault="00FF7905" w:rsidP="00A0047B">
            <w:pPr>
              <w:spacing w:line="240" w:lineRule="auto"/>
              <w:rPr>
                <w:rFonts w:ascii="Arial" w:hAnsi="Arial" w:cs="Arial"/>
                <w:sz w:val="24"/>
                <w:szCs w:val="24"/>
              </w:rPr>
            </w:pPr>
            <w:r w:rsidRPr="00A0047B">
              <w:rPr>
                <w:rFonts w:ascii="Arial" w:hAnsi="Arial" w:cs="Arial"/>
                <w:sz w:val="24"/>
                <w:szCs w:val="24"/>
              </w:rPr>
              <w:t xml:space="preserve">Total </w:t>
            </w:r>
          </w:p>
        </w:tc>
        <w:tc>
          <w:tcPr>
            <w:tcW w:w="1984" w:type="dxa"/>
          </w:tcPr>
          <w:p w:rsidR="00FF7905" w:rsidRPr="00A0047B" w:rsidRDefault="00FF7905" w:rsidP="00A0047B">
            <w:pPr>
              <w:spacing w:line="240" w:lineRule="auto"/>
              <w:jc w:val="right"/>
              <w:rPr>
                <w:rFonts w:ascii="Arial" w:hAnsi="Arial" w:cs="Arial"/>
                <w:sz w:val="24"/>
                <w:szCs w:val="24"/>
              </w:rPr>
            </w:pPr>
            <w:r>
              <w:rPr>
                <w:rFonts w:ascii="Arial" w:hAnsi="Arial" w:cs="Arial"/>
                <w:sz w:val="24"/>
                <w:szCs w:val="24"/>
              </w:rPr>
              <w:t>2,537</w:t>
            </w:r>
          </w:p>
        </w:tc>
      </w:tr>
    </w:tbl>
    <w:p w:rsidR="00FF7905" w:rsidRPr="0048016D" w:rsidRDefault="00FF7905" w:rsidP="0044461E">
      <w:pPr>
        <w:spacing w:line="240" w:lineRule="auto"/>
        <w:ind w:left="360"/>
        <w:rPr>
          <w:rFonts w:ascii="Arial" w:hAnsi="Arial" w:cs="Arial"/>
          <w:sz w:val="24"/>
          <w:szCs w:val="24"/>
        </w:rPr>
      </w:pPr>
    </w:p>
    <w:p w:rsidR="00FF7905" w:rsidRDefault="00FF7905" w:rsidP="00391ABF">
      <w:pPr>
        <w:spacing w:after="0" w:line="240" w:lineRule="auto"/>
        <w:ind w:left="360"/>
        <w:rPr>
          <w:rFonts w:ascii="Arial" w:hAnsi="Arial" w:cs="Arial"/>
          <w:b/>
          <w:sz w:val="24"/>
          <w:szCs w:val="24"/>
        </w:rPr>
      </w:pPr>
      <w:r>
        <w:rPr>
          <w:rFonts w:ascii="Arial" w:hAnsi="Arial" w:cs="Arial"/>
          <w:b/>
          <w:sz w:val="24"/>
          <w:szCs w:val="24"/>
        </w:rPr>
        <w:t xml:space="preserve">THE IMPACT OF THE NEW </w:t>
      </w:r>
      <w:r w:rsidRPr="00451D7C">
        <w:rPr>
          <w:rFonts w:ascii="Arial" w:hAnsi="Arial" w:cs="Arial"/>
          <w:b/>
          <w:sz w:val="24"/>
          <w:szCs w:val="24"/>
        </w:rPr>
        <w:t xml:space="preserve">FUNDING </w:t>
      </w:r>
      <w:r>
        <w:rPr>
          <w:rFonts w:ascii="Arial" w:hAnsi="Arial" w:cs="Arial"/>
          <w:b/>
          <w:sz w:val="24"/>
          <w:szCs w:val="24"/>
        </w:rPr>
        <w:t>REGIME F</w:t>
      </w:r>
      <w:r w:rsidRPr="00451D7C">
        <w:rPr>
          <w:rFonts w:ascii="Arial" w:hAnsi="Arial" w:cs="Arial"/>
          <w:b/>
          <w:sz w:val="24"/>
          <w:szCs w:val="24"/>
        </w:rPr>
        <w:t>OR COUNCIL HOUSING</w:t>
      </w:r>
    </w:p>
    <w:p w:rsidR="00FF7905" w:rsidRPr="00451D7C" w:rsidRDefault="00FF7905" w:rsidP="00451D7C">
      <w:pPr>
        <w:spacing w:after="0" w:line="240" w:lineRule="auto"/>
        <w:ind w:left="360"/>
        <w:rPr>
          <w:rFonts w:ascii="Arial" w:hAnsi="Arial" w:cs="Arial"/>
          <w:b/>
          <w:sz w:val="24"/>
          <w:szCs w:val="24"/>
        </w:rPr>
      </w:pPr>
    </w:p>
    <w:p w:rsidR="00FF7905" w:rsidRDefault="00FF7905" w:rsidP="00451D7C">
      <w:pPr>
        <w:spacing w:after="0" w:line="240" w:lineRule="auto"/>
        <w:ind w:left="360"/>
        <w:jc w:val="both"/>
        <w:rPr>
          <w:rFonts w:ascii="Arial" w:hAnsi="Arial" w:cs="Arial"/>
          <w:sz w:val="24"/>
          <w:szCs w:val="24"/>
        </w:rPr>
      </w:pPr>
      <w:r w:rsidRPr="00451D7C">
        <w:rPr>
          <w:rFonts w:ascii="Arial" w:hAnsi="Arial" w:cs="Arial"/>
          <w:sz w:val="24"/>
          <w:szCs w:val="24"/>
        </w:rPr>
        <w:t xml:space="preserve">As members of the Tenants Forum are aware, </w:t>
      </w:r>
      <w:r>
        <w:rPr>
          <w:rFonts w:ascii="Arial" w:hAnsi="Arial" w:cs="Arial"/>
          <w:sz w:val="24"/>
          <w:szCs w:val="24"/>
        </w:rPr>
        <w:t xml:space="preserve">a </w:t>
      </w:r>
      <w:r w:rsidRPr="00451D7C">
        <w:rPr>
          <w:rFonts w:ascii="Arial" w:hAnsi="Arial" w:cs="Arial"/>
          <w:sz w:val="24"/>
          <w:szCs w:val="24"/>
        </w:rPr>
        <w:t xml:space="preserve">new self-financing funding mechanism for council housing will be introduced in April 2012. </w:t>
      </w:r>
      <w:r>
        <w:rPr>
          <w:rFonts w:ascii="Arial" w:hAnsi="Arial" w:cs="Arial"/>
          <w:sz w:val="24"/>
          <w:szCs w:val="24"/>
        </w:rPr>
        <w:t xml:space="preserve">It is anticipated that the </w:t>
      </w:r>
      <w:r w:rsidRPr="00451D7C">
        <w:rPr>
          <w:rFonts w:ascii="Arial" w:hAnsi="Arial" w:cs="Arial"/>
          <w:sz w:val="24"/>
          <w:szCs w:val="24"/>
        </w:rPr>
        <w:t>new system will give local authorities the resources they need to manage their housing for the long term</w:t>
      </w:r>
      <w:r>
        <w:rPr>
          <w:rFonts w:ascii="Arial" w:hAnsi="Arial" w:cs="Arial"/>
          <w:sz w:val="24"/>
          <w:szCs w:val="24"/>
        </w:rPr>
        <w:t xml:space="preserve">. In so far as capital investment is concerned, this will mean that, in future, the capital programme will be based on the investment needs of the housing stock rather than being the result of whatever money is available after negative housing subsidy has been paid to the Government. </w:t>
      </w:r>
    </w:p>
    <w:p w:rsidR="00FF7905" w:rsidRDefault="00FF7905" w:rsidP="00451D7C">
      <w:pPr>
        <w:spacing w:after="0" w:line="240" w:lineRule="auto"/>
        <w:ind w:left="360"/>
        <w:jc w:val="both"/>
        <w:rPr>
          <w:rFonts w:ascii="Arial" w:hAnsi="Arial" w:cs="Arial"/>
          <w:sz w:val="24"/>
          <w:szCs w:val="24"/>
        </w:rPr>
      </w:pPr>
    </w:p>
    <w:p w:rsidR="00FF7905" w:rsidRDefault="00FF7905" w:rsidP="00451D7C">
      <w:pPr>
        <w:spacing w:after="0" w:line="240" w:lineRule="auto"/>
        <w:ind w:left="360"/>
        <w:jc w:val="both"/>
        <w:rPr>
          <w:rFonts w:ascii="Arial" w:hAnsi="Arial" w:cs="Arial"/>
          <w:sz w:val="24"/>
          <w:szCs w:val="24"/>
        </w:rPr>
      </w:pPr>
      <w:r>
        <w:rPr>
          <w:rFonts w:ascii="Arial" w:hAnsi="Arial" w:cs="Arial"/>
          <w:sz w:val="24"/>
          <w:szCs w:val="24"/>
        </w:rPr>
        <w:t xml:space="preserve">The stock condition survey, which was undertaken in 2009, found that there was a need to spend over £150 million (at today’s prices) over the next thirty years in order to keep the Council’s housing stock in good physical condition. The HRA business plan, which will be discussed at the Tenants Forum in April, will set out how this will be achieved. </w:t>
      </w:r>
    </w:p>
    <w:p w:rsidR="00FF7905" w:rsidRDefault="00FF7905" w:rsidP="00451D7C">
      <w:pPr>
        <w:spacing w:after="0" w:line="240" w:lineRule="auto"/>
        <w:ind w:left="360"/>
        <w:jc w:val="both"/>
        <w:rPr>
          <w:rFonts w:ascii="Arial" w:hAnsi="Arial" w:cs="Arial"/>
          <w:sz w:val="24"/>
          <w:szCs w:val="24"/>
        </w:rPr>
      </w:pPr>
    </w:p>
    <w:p w:rsidR="00FF7905" w:rsidRDefault="00FF7905" w:rsidP="00451D7C">
      <w:pPr>
        <w:spacing w:after="0" w:line="240" w:lineRule="auto"/>
        <w:ind w:left="360"/>
        <w:jc w:val="both"/>
        <w:rPr>
          <w:rFonts w:ascii="Arial" w:hAnsi="Arial" w:cs="Arial"/>
          <w:sz w:val="24"/>
          <w:szCs w:val="24"/>
        </w:rPr>
      </w:pPr>
      <w:r>
        <w:rPr>
          <w:rFonts w:ascii="Arial" w:hAnsi="Arial" w:cs="Arial"/>
          <w:sz w:val="24"/>
          <w:szCs w:val="24"/>
        </w:rPr>
        <w:t xml:space="preserve">In terms of our future investment plans, it is proposed that priority is given to the comprehensive refurbishment of homes that were built prior to World War II.  Around 27% of our housing stock falls into this category and it is essential that we extend the life of these homes so that they remain easy to let and so that tenants continue to live in safe and comfortable homes. Work on this project will commence on site in 2014/15 and it is hoped that the works package will be based on elements of the ‘Homes for the Future’ project at Top Dysons.   </w:t>
      </w:r>
    </w:p>
    <w:p w:rsidR="00FF7905" w:rsidRDefault="00FF7905" w:rsidP="00391ABF">
      <w:pPr>
        <w:spacing w:after="0" w:line="240" w:lineRule="auto"/>
        <w:ind w:left="360"/>
        <w:jc w:val="both"/>
        <w:rPr>
          <w:rFonts w:ascii="Arial" w:hAnsi="Arial" w:cs="Arial"/>
          <w:sz w:val="24"/>
          <w:szCs w:val="24"/>
        </w:rPr>
      </w:pPr>
    </w:p>
    <w:p w:rsidR="00FF7905" w:rsidRPr="00451D7C" w:rsidRDefault="00FF7905" w:rsidP="00391ABF">
      <w:pPr>
        <w:spacing w:after="0" w:line="240" w:lineRule="auto"/>
        <w:ind w:left="360"/>
        <w:jc w:val="both"/>
        <w:rPr>
          <w:rFonts w:ascii="Arial" w:hAnsi="Arial" w:cs="Arial"/>
          <w:sz w:val="24"/>
          <w:szCs w:val="24"/>
        </w:rPr>
      </w:pPr>
      <w:r>
        <w:rPr>
          <w:rFonts w:ascii="Arial" w:hAnsi="Arial" w:cs="Arial"/>
          <w:sz w:val="24"/>
          <w:szCs w:val="24"/>
        </w:rPr>
        <w:t>The draft HRA Business Plan, which will be submitted to the Tenants Forum in April will contain more detailed information on our future spending plans.</w:t>
      </w:r>
    </w:p>
    <w:p w:rsidR="00FF7905" w:rsidRPr="00451D7C" w:rsidRDefault="00FF7905" w:rsidP="00451D7C">
      <w:pPr>
        <w:tabs>
          <w:tab w:val="num" w:pos="709"/>
        </w:tabs>
        <w:spacing w:after="0" w:line="240" w:lineRule="auto"/>
        <w:ind w:left="360"/>
        <w:jc w:val="both"/>
        <w:rPr>
          <w:rFonts w:ascii="Arial" w:hAnsi="Arial" w:cs="Arial"/>
          <w:sz w:val="24"/>
          <w:szCs w:val="24"/>
        </w:rPr>
      </w:pPr>
    </w:p>
    <w:p w:rsidR="00FF7905" w:rsidRPr="00451D7C" w:rsidRDefault="00FF7905" w:rsidP="00451D7C">
      <w:pPr>
        <w:tabs>
          <w:tab w:val="num" w:pos="709"/>
        </w:tabs>
        <w:spacing w:after="0" w:line="240" w:lineRule="auto"/>
        <w:ind w:left="360"/>
        <w:jc w:val="both"/>
        <w:rPr>
          <w:rFonts w:ascii="Arial" w:hAnsi="Arial" w:cs="Arial"/>
          <w:sz w:val="24"/>
          <w:szCs w:val="24"/>
        </w:rPr>
      </w:pPr>
    </w:p>
    <w:p w:rsidR="00FF7905" w:rsidRPr="00451D7C" w:rsidRDefault="00FF7905" w:rsidP="00451D7C">
      <w:pPr>
        <w:spacing w:after="0" w:line="240" w:lineRule="auto"/>
        <w:jc w:val="both"/>
        <w:rPr>
          <w:rFonts w:ascii="Arial" w:hAnsi="Arial" w:cs="Arial"/>
          <w:sz w:val="24"/>
          <w:szCs w:val="24"/>
        </w:rPr>
      </w:pPr>
    </w:p>
    <w:p w:rsidR="00FF7905" w:rsidRPr="00451D7C" w:rsidRDefault="00FF7905" w:rsidP="00451D7C">
      <w:pPr>
        <w:spacing w:after="0" w:line="240" w:lineRule="auto"/>
        <w:jc w:val="both"/>
        <w:rPr>
          <w:rFonts w:ascii="Arial" w:hAnsi="Arial" w:cs="Arial"/>
          <w:sz w:val="24"/>
          <w:szCs w:val="24"/>
        </w:rPr>
      </w:pPr>
      <w:r w:rsidRPr="00451D7C">
        <w:rPr>
          <w:rFonts w:ascii="Arial" w:hAnsi="Arial" w:cs="Arial"/>
          <w:sz w:val="24"/>
          <w:szCs w:val="24"/>
        </w:rPr>
        <w:t xml:space="preserve">.  </w:t>
      </w:r>
    </w:p>
    <w:p w:rsidR="00FF7905" w:rsidRPr="00451D7C" w:rsidRDefault="00FF7905" w:rsidP="00451D7C">
      <w:pPr>
        <w:spacing w:after="0" w:line="240" w:lineRule="auto"/>
        <w:jc w:val="both"/>
        <w:rPr>
          <w:rFonts w:ascii="Arial" w:hAnsi="Arial" w:cs="Arial"/>
          <w:sz w:val="24"/>
          <w:szCs w:val="24"/>
        </w:rPr>
      </w:pPr>
    </w:p>
    <w:p w:rsidR="00FF7905" w:rsidRPr="00451D7C" w:rsidRDefault="00FF7905" w:rsidP="00451D7C">
      <w:pPr>
        <w:spacing w:after="0" w:line="240" w:lineRule="auto"/>
        <w:jc w:val="both"/>
        <w:rPr>
          <w:rFonts w:ascii="Arial" w:hAnsi="Arial" w:cs="Arial"/>
          <w:sz w:val="24"/>
          <w:szCs w:val="24"/>
        </w:rPr>
      </w:pPr>
    </w:p>
    <w:p w:rsidR="00FF7905" w:rsidRPr="00451D7C" w:rsidRDefault="00FF7905" w:rsidP="00451D7C">
      <w:pPr>
        <w:spacing w:after="0" w:line="240" w:lineRule="auto"/>
        <w:jc w:val="right"/>
        <w:rPr>
          <w:rFonts w:ascii="Arial" w:hAnsi="Arial" w:cs="Arial"/>
          <w:sz w:val="24"/>
          <w:szCs w:val="24"/>
        </w:rPr>
      </w:pPr>
      <w:r w:rsidRPr="00451D7C">
        <w:rPr>
          <w:rFonts w:ascii="Arial" w:hAnsi="Arial" w:cs="Arial"/>
          <w:sz w:val="24"/>
          <w:szCs w:val="24"/>
        </w:rPr>
        <w:t>John Conway</w:t>
      </w:r>
    </w:p>
    <w:p w:rsidR="00FF7905" w:rsidRPr="00451D7C" w:rsidRDefault="00FF7905" w:rsidP="00451D7C">
      <w:pPr>
        <w:spacing w:after="0" w:line="240" w:lineRule="auto"/>
        <w:jc w:val="right"/>
        <w:rPr>
          <w:rFonts w:ascii="Arial" w:hAnsi="Arial" w:cs="Arial"/>
          <w:sz w:val="24"/>
          <w:szCs w:val="24"/>
        </w:rPr>
      </w:pPr>
      <w:r w:rsidRPr="00451D7C">
        <w:rPr>
          <w:rFonts w:ascii="Arial" w:hAnsi="Arial" w:cs="Arial"/>
          <w:sz w:val="24"/>
          <w:szCs w:val="24"/>
        </w:rPr>
        <w:t>Head of Housing</w:t>
      </w:r>
    </w:p>
    <w:p w:rsidR="00FF7905" w:rsidRPr="00451D7C" w:rsidRDefault="00FF7905" w:rsidP="00451D7C">
      <w:pPr>
        <w:spacing w:after="0" w:line="240" w:lineRule="auto"/>
        <w:jc w:val="right"/>
        <w:rPr>
          <w:rFonts w:ascii="Arial" w:hAnsi="Arial" w:cs="Arial"/>
          <w:sz w:val="24"/>
          <w:szCs w:val="24"/>
        </w:rPr>
      </w:pPr>
    </w:p>
    <w:p w:rsidR="00FF7905" w:rsidRDefault="00FF7905" w:rsidP="00284672">
      <w:pPr>
        <w:spacing w:after="0" w:line="240" w:lineRule="auto"/>
        <w:jc w:val="right"/>
        <w:rPr>
          <w:rFonts w:ascii="Arial" w:hAnsi="Arial" w:cs="Arial"/>
          <w:sz w:val="24"/>
          <w:szCs w:val="24"/>
        </w:rPr>
      </w:pPr>
    </w:p>
    <w:sectPr w:rsidR="00FF7905" w:rsidSect="00286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06C"/>
    <w:multiLevelType w:val="hybridMultilevel"/>
    <w:tmpl w:val="84820A0A"/>
    <w:lvl w:ilvl="0" w:tplc="D0724326">
      <w:numFmt w:val="bullet"/>
      <w:lvlText w:val=""/>
      <w:lvlJc w:val="left"/>
      <w:pPr>
        <w:tabs>
          <w:tab w:val="num" w:pos="1080"/>
        </w:tabs>
        <w:ind w:left="1080" w:hanging="720"/>
      </w:pPr>
      <w:rPr>
        <w:rFonts w:ascii="Symbol" w:hAnsi="Symbol" w:hint="default"/>
        <w:color w:val="auto"/>
      </w:rPr>
    </w:lvl>
    <w:lvl w:ilvl="1" w:tplc="0809000F">
      <w:start w:val="1"/>
      <w:numFmt w:val="decimal"/>
      <w:lvlText w:val="%2."/>
      <w:lvlJc w:val="left"/>
      <w:pPr>
        <w:tabs>
          <w:tab w:val="num" w:pos="1800"/>
        </w:tabs>
        <w:ind w:left="1800" w:hanging="360"/>
      </w:pPr>
      <w:rPr>
        <w:rFonts w:cs="Times New Roman" w:hint="default"/>
        <w:color w:val="00008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BC066B3"/>
    <w:multiLevelType w:val="hybridMultilevel"/>
    <w:tmpl w:val="DA14AAE6"/>
    <w:lvl w:ilvl="0" w:tplc="F446C6BE">
      <w:start w:val="1"/>
      <w:numFmt w:val="bullet"/>
      <w:lvlText w:val=""/>
      <w:lvlJc w:val="left"/>
      <w:pPr>
        <w:tabs>
          <w:tab w:val="num" w:pos="1080"/>
        </w:tabs>
        <w:ind w:left="1080" w:hanging="360"/>
      </w:pPr>
      <w:rPr>
        <w:rFonts w:ascii="Wingdings" w:hAnsi="Wingdings" w:hint="default"/>
        <w:color w:val="000080"/>
      </w:rPr>
    </w:lvl>
    <w:lvl w:ilvl="1" w:tplc="0809000F">
      <w:start w:val="1"/>
      <w:numFmt w:val="decimal"/>
      <w:lvlText w:val="%2."/>
      <w:lvlJc w:val="left"/>
      <w:pPr>
        <w:tabs>
          <w:tab w:val="num" w:pos="2160"/>
        </w:tabs>
        <w:ind w:left="2160" w:hanging="360"/>
      </w:pPr>
      <w:rPr>
        <w:rFonts w:cs="Times New Roman" w:hint="default"/>
        <w:color w:val="00008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04B32B2"/>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A13785E"/>
    <w:multiLevelType w:val="hybridMultilevel"/>
    <w:tmpl w:val="F6B87E54"/>
    <w:lvl w:ilvl="0" w:tplc="08090017">
      <w:start w:val="1"/>
      <w:numFmt w:val="lowerLetter"/>
      <w:lvlText w:val="%1)"/>
      <w:lvlJc w:val="left"/>
      <w:pPr>
        <w:tabs>
          <w:tab w:val="num" w:pos="1080"/>
        </w:tabs>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7707AE"/>
    <w:multiLevelType w:val="multilevel"/>
    <w:tmpl w:val="941426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F93395"/>
    <w:multiLevelType w:val="hybridMultilevel"/>
    <w:tmpl w:val="176E3FEC"/>
    <w:lvl w:ilvl="0" w:tplc="D0724326">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1E3E6232"/>
    <w:multiLevelType w:val="hybridMultilevel"/>
    <w:tmpl w:val="BE5C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82DB2"/>
    <w:multiLevelType w:val="hybridMultilevel"/>
    <w:tmpl w:val="FA74EE7A"/>
    <w:lvl w:ilvl="0" w:tplc="D0724326">
      <w:numFmt w:val="bullet"/>
      <w:lvlText w:val=""/>
      <w:lvlJc w:val="left"/>
      <w:pPr>
        <w:tabs>
          <w:tab w:val="num" w:pos="1080"/>
        </w:tabs>
        <w:ind w:left="1080" w:hanging="72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nsid w:val="22985512"/>
    <w:multiLevelType w:val="hybridMultilevel"/>
    <w:tmpl w:val="3542841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EE7"/>
    <w:multiLevelType w:val="hybridMultilevel"/>
    <w:tmpl w:val="FD66E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4448D"/>
    <w:multiLevelType w:val="multilevel"/>
    <w:tmpl w:val="DA14AAE6"/>
    <w:lvl w:ilvl="0">
      <w:start w:val="1"/>
      <w:numFmt w:val="bullet"/>
      <w:lvlText w:val=""/>
      <w:lvlJc w:val="left"/>
      <w:pPr>
        <w:tabs>
          <w:tab w:val="num" w:pos="1080"/>
        </w:tabs>
        <w:ind w:left="1080" w:hanging="360"/>
      </w:pPr>
      <w:rPr>
        <w:rFonts w:ascii="Wingdings" w:hAnsi="Wingdings" w:hint="default"/>
        <w:color w:val="000080"/>
      </w:rPr>
    </w:lvl>
    <w:lvl w:ilvl="1">
      <w:start w:val="1"/>
      <w:numFmt w:val="decimal"/>
      <w:lvlText w:val="%2."/>
      <w:lvlJc w:val="left"/>
      <w:pPr>
        <w:tabs>
          <w:tab w:val="num" w:pos="2160"/>
        </w:tabs>
        <w:ind w:left="2160" w:hanging="360"/>
      </w:pPr>
      <w:rPr>
        <w:rFonts w:cs="Times New Roman" w:hint="default"/>
        <w:color w:val="00008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C8E7804"/>
    <w:multiLevelType w:val="hybridMultilevel"/>
    <w:tmpl w:val="0952CFC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6614DAC"/>
    <w:multiLevelType w:val="hybridMultilevel"/>
    <w:tmpl w:val="DA78F0A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A074604"/>
    <w:multiLevelType w:val="hybridMultilevel"/>
    <w:tmpl w:val="7D5C90C4"/>
    <w:lvl w:ilvl="0" w:tplc="D0724326">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nsid w:val="57411C5F"/>
    <w:multiLevelType w:val="hybridMultilevel"/>
    <w:tmpl w:val="E1169A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E547B88"/>
    <w:multiLevelType w:val="hybridMultilevel"/>
    <w:tmpl w:val="A58213F0"/>
    <w:lvl w:ilvl="0" w:tplc="D0724326">
      <w:numFmt w:val="bullet"/>
      <w:lvlText w:val=""/>
      <w:lvlJc w:val="left"/>
      <w:pPr>
        <w:tabs>
          <w:tab w:val="num" w:pos="1080"/>
        </w:tabs>
        <w:ind w:left="1080" w:hanging="72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5EC56BD5"/>
    <w:multiLevelType w:val="hybridMultilevel"/>
    <w:tmpl w:val="4E64A304"/>
    <w:lvl w:ilvl="0" w:tplc="08090017">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7">
    <w:nsid w:val="7BE84A39"/>
    <w:multiLevelType w:val="hybridMultilevel"/>
    <w:tmpl w:val="8888508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3"/>
  </w:num>
  <w:num w:numId="4">
    <w:abstractNumId w:val="16"/>
  </w:num>
  <w:num w:numId="5">
    <w:abstractNumId w:val="11"/>
  </w:num>
  <w:num w:numId="6">
    <w:abstractNumId w:val="17"/>
  </w:num>
  <w:num w:numId="7">
    <w:abstractNumId w:val="1"/>
  </w:num>
  <w:num w:numId="8">
    <w:abstractNumId w:val="12"/>
  </w:num>
  <w:num w:numId="9">
    <w:abstractNumId w:val="10"/>
  </w:num>
  <w:num w:numId="10">
    <w:abstractNumId w:val="0"/>
  </w:num>
  <w:num w:numId="11">
    <w:abstractNumId w:val="13"/>
  </w:num>
  <w:num w:numId="12">
    <w:abstractNumId w:val="5"/>
  </w:num>
  <w:num w:numId="13">
    <w:abstractNumId w:val="15"/>
  </w:num>
  <w:num w:numId="14">
    <w:abstractNumId w:val="7"/>
  </w:num>
  <w:num w:numId="15">
    <w:abstractNumId w:val="14"/>
  </w:num>
  <w:num w:numId="16">
    <w:abstractNumId w:val="2"/>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AAB"/>
    <w:rsid w:val="00023CD5"/>
    <w:rsid w:val="00075686"/>
    <w:rsid w:val="000A273C"/>
    <w:rsid w:val="00101D14"/>
    <w:rsid w:val="001034F5"/>
    <w:rsid w:val="00106BC5"/>
    <w:rsid w:val="00150CF0"/>
    <w:rsid w:val="00180AFE"/>
    <w:rsid w:val="001A0567"/>
    <w:rsid w:val="001D05D8"/>
    <w:rsid w:val="001D38D7"/>
    <w:rsid w:val="002070A7"/>
    <w:rsid w:val="0022404A"/>
    <w:rsid w:val="00255B42"/>
    <w:rsid w:val="00260A32"/>
    <w:rsid w:val="002746BD"/>
    <w:rsid w:val="00284672"/>
    <w:rsid w:val="00286546"/>
    <w:rsid w:val="0029368C"/>
    <w:rsid w:val="002E328E"/>
    <w:rsid w:val="0031292C"/>
    <w:rsid w:val="0032644B"/>
    <w:rsid w:val="00391ABF"/>
    <w:rsid w:val="003952FD"/>
    <w:rsid w:val="004271AD"/>
    <w:rsid w:val="0043072B"/>
    <w:rsid w:val="0043218D"/>
    <w:rsid w:val="0044461E"/>
    <w:rsid w:val="00451D7C"/>
    <w:rsid w:val="0048016D"/>
    <w:rsid w:val="004909F4"/>
    <w:rsid w:val="00490E6C"/>
    <w:rsid w:val="004A4D12"/>
    <w:rsid w:val="004B441E"/>
    <w:rsid w:val="00523FAB"/>
    <w:rsid w:val="0052698B"/>
    <w:rsid w:val="00527545"/>
    <w:rsid w:val="005531BA"/>
    <w:rsid w:val="00574EF8"/>
    <w:rsid w:val="005B507C"/>
    <w:rsid w:val="005C5AC5"/>
    <w:rsid w:val="005E3615"/>
    <w:rsid w:val="006B00EB"/>
    <w:rsid w:val="006E4C67"/>
    <w:rsid w:val="00752431"/>
    <w:rsid w:val="00763489"/>
    <w:rsid w:val="0077567F"/>
    <w:rsid w:val="007858AA"/>
    <w:rsid w:val="007A0D42"/>
    <w:rsid w:val="00820EFF"/>
    <w:rsid w:val="008260C1"/>
    <w:rsid w:val="008A0919"/>
    <w:rsid w:val="008D77BE"/>
    <w:rsid w:val="00920D23"/>
    <w:rsid w:val="0092675F"/>
    <w:rsid w:val="009433E6"/>
    <w:rsid w:val="0095190F"/>
    <w:rsid w:val="00973E19"/>
    <w:rsid w:val="00997A47"/>
    <w:rsid w:val="009D5C9E"/>
    <w:rsid w:val="009F0AAB"/>
    <w:rsid w:val="00A0047B"/>
    <w:rsid w:val="00A03E0B"/>
    <w:rsid w:val="00A05AC5"/>
    <w:rsid w:val="00A1001B"/>
    <w:rsid w:val="00A17EAB"/>
    <w:rsid w:val="00A304A4"/>
    <w:rsid w:val="00A41D90"/>
    <w:rsid w:val="00A713E4"/>
    <w:rsid w:val="00A93032"/>
    <w:rsid w:val="00AD6D7D"/>
    <w:rsid w:val="00AF2AE2"/>
    <w:rsid w:val="00B32219"/>
    <w:rsid w:val="00B722E0"/>
    <w:rsid w:val="00B92824"/>
    <w:rsid w:val="00BB1C38"/>
    <w:rsid w:val="00BC323C"/>
    <w:rsid w:val="00C13AB8"/>
    <w:rsid w:val="00C248B7"/>
    <w:rsid w:val="00C32BC5"/>
    <w:rsid w:val="00CE2A2A"/>
    <w:rsid w:val="00CE78CF"/>
    <w:rsid w:val="00CF182D"/>
    <w:rsid w:val="00D20AE8"/>
    <w:rsid w:val="00D53CE0"/>
    <w:rsid w:val="00D638A9"/>
    <w:rsid w:val="00D7729B"/>
    <w:rsid w:val="00D85C15"/>
    <w:rsid w:val="00DB1646"/>
    <w:rsid w:val="00DC1D31"/>
    <w:rsid w:val="00DC22DA"/>
    <w:rsid w:val="00DE224E"/>
    <w:rsid w:val="00DF3345"/>
    <w:rsid w:val="00E03DFA"/>
    <w:rsid w:val="00E45C6E"/>
    <w:rsid w:val="00EA3E0A"/>
    <w:rsid w:val="00EB73A3"/>
    <w:rsid w:val="00ED2D82"/>
    <w:rsid w:val="00EF025A"/>
    <w:rsid w:val="00FB411B"/>
    <w:rsid w:val="00FE1A86"/>
    <w:rsid w:val="00FF5B40"/>
    <w:rsid w:val="00FF790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6546"/>
    <w:pPr>
      <w:spacing w:after="200" w:line="276" w:lineRule="auto"/>
    </w:pPr>
    <w:rPr>
      <w:lang w:eastAsia="en-US"/>
    </w:rPr>
  </w:style>
  <w:style w:type="paragraph" w:styleId="Heading1">
    <w:name w:val="heading 1"/>
    <w:basedOn w:val="Normal"/>
    <w:next w:val="Normal"/>
    <w:link w:val="Heading1Char"/>
    <w:uiPriority w:val="99"/>
    <w:qFormat/>
    <w:locked/>
    <w:rsid w:val="00D638A9"/>
    <w:pPr>
      <w:keepNext/>
      <w:numPr>
        <w:numId w:val="16"/>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D638A9"/>
    <w:pPr>
      <w:keepNext/>
      <w:numPr>
        <w:ilvl w:val="1"/>
        <w:numId w:val="16"/>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D638A9"/>
    <w:pPr>
      <w:keepNext/>
      <w:numPr>
        <w:ilvl w:val="2"/>
        <w:numId w:val="16"/>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D638A9"/>
    <w:pPr>
      <w:keepNext/>
      <w:numPr>
        <w:ilvl w:val="3"/>
        <w:numId w:val="16"/>
      </w:numPr>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locked/>
    <w:rsid w:val="00D638A9"/>
    <w:pPr>
      <w:numPr>
        <w:ilvl w:val="4"/>
        <w:numId w:val="16"/>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locked/>
    <w:rsid w:val="00D638A9"/>
    <w:pPr>
      <w:numPr>
        <w:ilvl w:val="5"/>
        <w:numId w:val="16"/>
      </w:numPr>
      <w:spacing w:before="240" w:after="60"/>
      <w:outlineLvl w:val="5"/>
    </w:pPr>
    <w:rPr>
      <w:rFonts w:eastAsia="Times New Roman"/>
      <w:b/>
      <w:bCs/>
    </w:rPr>
  </w:style>
  <w:style w:type="paragraph" w:styleId="Heading7">
    <w:name w:val="heading 7"/>
    <w:basedOn w:val="Normal"/>
    <w:next w:val="Normal"/>
    <w:link w:val="Heading7Char"/>
    <w:uiPriority w:val="99"/>
    <w:qFormat/>
    <w:locked/>
    <w:rsid w:val="00D638A9"/>
    <w:pPr>
      <w:numPr>
        <w:ilvl w:val="6"/>
        <w:numId w:val="16"/>
      </w:numPr>
      <w:spacing w:before="240" w:after="60"/>
      <w:outlineLvl w:val="6"/>
    </w:pPr>
    <w:rPr>
      <w:rFonts w:eastAsia="Times New Roman"/>
      <w:sz w:val="24"/>
      <w:szCs w:val="24"/>
    </w:rPr>
  </w:style>
  <w:style w:type="paragraph" w:styleId="Heading8">
    <w:name w:val="heading 8"/>
    <w:basedOn w:val="Normal"/>
    <w:next w:val="Normal"/>
    <w:link w:val="Heading8Char"/>
    <w:uiPriority w:val="99"/>
    <w:qFormat/>
    <w:locked/>
    <w:rsid w:val="00D638A9"/>
    <w:pPr>
      <w:numPr>
        <w:ilvl w:val="7"/>
        <w:numId w:val="16"/>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qFormat/>
    <w:locked/>
    <w:rsid w:val="00D638A9"/>
    <w:pPr>
      <w:numPr>
        <w:ilvl w:val="8"/>
        <w:numId w:val="16"/>
      </w:num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8A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638A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638A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638A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D638A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D638A9"/>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D638A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D638A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D638A9"/>
    <w:rPr>
      <w:rFonts w:ascii="Cambria" w:hAnsi="Cambria" w:cs="Times New Roman"/>
      <w:sz w:val="22"/>
      <w:szCs w:val="22"/>
      <w:lang w:eastAsia="en-US"/>
    </w:rPr>
  </w:style>
  <w:style w:type="paragraph" w:styleId="ListParagraph">
    <w:name w:val="List Paragraph"/>
    <w:basedOn w:val="Normal"/>
    <w:uiPriority w:val="99"/>
    <w:qFormat/>
    <w:rsid w:val="009F0AAB"/>
    <w:pPr>
      <w:ind w:left="720"/>
      <w:contextualSpacing/>
    </w:pPr>
  </w:style>
  <w:style w:type="paragraph" w:styleId="BalloonText">
    <w:name w:val="Balloon Text"/>
    <w:basedOn w:val="Normal"/>
    <w:link w:val="BalloonTextChar"/>
    <w:uiPriority w:val="99"/>
    <w:semiHidden/>
    <w:rsid w:val="00A17E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90F"/>
    <w:rPr>
      <w:rFonts w:ascii="Times New Roman" w:hAnsi="Times New Roman" w:cs="Times New Roman"/>
      <w:sz w:val="2"/>
      <w:lang w:eastAsia="en-US"/>
    </w:rPr>
  </w:style>
  <w:style w:type="table" w:styleId="TableGrid">
    <w:name w:val="Table Grid"/>
    <w:basedOn w:val="TableNormal"/>
    <w:uiPriority w:val="99"/>
    <w:locked/>
    <w:rsid w:val="00D85C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588</Words>
  <Characters>3357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Conway</dc:creator>
  <cp:keywords/>
  <dc:description/>
  <cp:lastModifiedBy>jconw</cp:lastModifiedBy>
  <cp:revision>3</cp:revision>
  <cp:lastPrinted>2012-02-07T13:53:00Z</cp:lastPrinted>
  <dcterms:created xsi:type="dcterms:W3CDTF">2012-02-07T06:49:00Z</dcterms:created>
  <dcterms:modified xsi:type="dcterms:W3CDTF">2012-02-07T08:05:00Z</dcterms:modified>
</cp:coreProperties>
</file>