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70" w:rsidRPr="005F1470" w:rsidRDefault="005F1470" w:rsidP="005F1470">
      <w:pPr>
        <w:tabs>
          <w:tab w:val="left" w:pos="9923"/>
        </w:tabs>
        <w:spacing w:after="0" w:line="240" w:lineRule="auto"/>
        <w:ind w:left="93"/>
        <w:jc w:val="center"/>
        <w:rPr>
          <w:rFonts w:ascii="Arial" w:eastAsia="Times New Roman" w:hAnsi="Arial" w:cs="Arial"/>
          <w:color w:val="000000"/>
          <w:sz w:val="24"/>
          <w:szCs w:val="24"/>
          <w:lang w:eastAsia="en-GB"/>
        </w:rPr>
      </w:pPr>
      <w:r w:rsidRPr="005F1470">
        <w:rPr>
          <w:rFonts w:ascii="Arial" w:eastAsia="Times New Roman" w:hAnsi="Arial" w:cs="Arial"/>
          <w:b/>
          <w:bCs/>
          <w:color w:val="000000"/>
          <w:sz w:val="24"/>
          <w:szCs w:val="24"/>
          <w:u w:val="single"/>
          <w:lang w:eastAsia="en-GB"/>
        </w:rPr>
        <w:t>Full Planning Committee - 19  January  2016</w:t>
      </w: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jc w:val="center"/>
        <w:rPr>
          <w:rFonts w:ascii="Arial" w:eastAsia="Times New Roman" w:hAnsi="Arial" w:cs="Arial"/>
          <w:color w:val="000000"/>
          <w:sz w:val="24"/>
          <w:szCs w:val="24"/>
          <w:lang w:eastAsia="en-GB"/>
        </w:rPr>
      </w:pPr>
    </w:p>
    <w:p w:rsidR="005F1470" w:rsidRPr="005F1470" w:rsidRDefault="005F1470" w:rsidP="005F1470">
      <w:pPr>
        <w:tabs>
          <w:tab w:val="left" w:pos="9923"/>
        </w:tabs>
        <w:spacing w:after="0" w:line="240" w:lineRule="auto"/>
        <w:ind w:left="93"/>
        <w:jc w:val="center"/>
        <w:rPr>
          <w:rFonts w:ascii="Arial" w:eastAsia="Times New Roman" w:hAnsi="Arial" w:cs="Arial"/>
          <w:color w:val="000000"/>
          <w:sz w:val="24"/>
          <w:szCs w:val="24"/>
          <w:lang w:eastAsia="en-GB"/>
        </w:rPr>
      </w:pPr>
      <w:r w:rsidRPr="005F1470">
        <w:rPr>
          <w:rFonts w:ascii="Arial" w:eastAsia="Times New Roman" w:hAnsi="Arial" w:cs="Arial"/>
          <w:b/>
          <w:bCs/>
          <w:color w:val="000000"/>
          <w:sz w:val="24"/>
          <w:szCs w:val="24"/>
          <w:u w:val="single"/>
          <w:lang w:eastAsia="en-GB"/>
        </w:rPr>
        <w:t>Agenda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5.1</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KET/2015/0810</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11 Netherfield Road,</w:t>
      </w:r>
      <w:r w:rsidRPr="005F1470">
        <w:rPr>
          <w:rFonts w:ascii="Arial" w:eastAsia="Times New Roman" w:hAnsi="Arial" w:cs="Arial"/>
          <w:color w:val="000000"/>
          <w:sz w:val="24"/>
          <w:szCs w:val="24"/>
          <w:lang w:eastAsia="en-GB"/>
        </w:rPr>
        <w:t xml:space="preserve"> Kettering</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5.2</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KET/2015/0857</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t>Mawsle</w:t>
      </w:r>
      <w:r>
        <w:rPr>
          <w:rFonts w:ascii="Arial" w:eastAsia="Times New Roman" w:hAnsi="Arial" w:cs="Arial"/>
          <w:color w:val="000000"/>
          <w:sz w:val="24"/>
          <w:szCs w:val="24"/>
          <w:lang w:eastAsia="en-GB"/>
        </w:rPr>
        <w:t xml:space="preserve">y Lodge Farm, Harrington Road, </w:t>
      </w:r>
      <w:r w:rsidRPr="005F1470">
        <w:rPr>
          <w:rFonts w:ascii="Arial" w:eastAsia="Times New Roman" w:hAnsi="Arial" w:cs="Arial"/>
          <w:color w:val="000000"/>
          <w:sz w:val="24"/>
          <w:szCs w:val="24"/>
          <w:lang w:eastAsia="en-GB"/>
        </w:rPr>
        <w:t>Loddington</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5.3</w:t>
      </w:r>
      <w:r>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KET/2015/0858</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127 Union Street,</w:t>
      </w:r>
      <w:r w:rsidRPr="005F1470">
        <w:rPr>
          <w:rFonts w:ascii="Arial" w:eastAsia="Times New Roman" w:hAnsi="Arial" w:cs="Arial"/>
          <w:color w:val="000000"/>
          <w:sz w:val="24"/>
          <w:szCs w:val="24"/>
          <w:lang w:eastAsia="en-GB"/>
        </w:rPr>
        <w:t xml:space="preserve"> Desborough</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EA3101" w:rsidRDefault="00EA3101"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EA3101">
        <w:rPr>
          <w:rFonts w:ascii="Arial" w:eastAsia="Times New Roman" w:hAnsi="Arial" w:cs="Arial"/>
          <w:color w:val="000000"/>
          <w:sz w:val="24"/>
          <w:szCs w:val="24"/>
          <w:lang w:eastAsia="en-GB"/>
        </w:rPr>
        <w:t>Additional planning condition to be added in the interests of visual amenity, character and safeguarding residential amenity:</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bookmarkStart w:id="0" w:name="_GoBack"/>
      <w:bookmarkEnd w:id="0"/>
      <w:r w:rsidRPr="005F1470">
        <w:rPr>
          <w:rFonts w:ascii="Arial" w:eastAsia="Times New Roman" w:hAnsi="Arial" w:cs="Arial"/>
          <w:color w:val="000000"/>
          <w:sz w:val="24"/>
          <w:szCs w:val="24"/>
          <w:lang w:eastAsia="en-GB"/>
        </w:rPr>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REASON:  Details of materials are necessary prior to the commencement of development in the interests of the visual amenities of the area in accordance with Policy 13 of the North Northamptonshire Core Spatial Strategy.'</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5.4</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KET/2015/0878</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t>2</w:t>
      </w:r>
      <w:r>
        <w:rPr>
          <w:rFonts w:ascii="Arial" w:eastAsia="Times New Roman" w:hAnsi="Arial" w:cs="Arial"/>
          <w:color w:val="000000"/>
          <w:sz w:val="24"/>
          <w:szCs w:val="24"/>
          <w:lang w:eastAsia="en-GB"/>
        </w:rPr>
        <w:t>9 Lomond Drive,</w:t>
      </w:r>
      <w:r w:rsidRPr="005F1470">
        <w:rPr>
          <w:rFonts w:ascii="Arial" w:eastAsia="Times New Roman" w:hAnsi="Arial" w:cs="Arial"/>
          <w:color w:val="000000"/>
          <w:sz w:val="24"/>
          <w:szCs w:val="24"/>
          <w:lang w:eastAsia="en-GB"/>
        </w:rPr>
        <w:t xml:space="preserve"> Kettering</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5.5</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KET/2015/0913</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109 Dunkirk Avenue, </w:t>
      </w:r>
      <w:r w:rsidRPr="005F1470">
        <w:rPr>
          <w:rFonts w:ascii="Arial" w:eastAsia="Times New Roman" w:hAnsi="Arial" w:cs="Arial"/>
          <w:color w:val="000000"/>
          <w:sz w:val="24"/>
          <w:szCs w:val="24"/>
          <w:lang w:eastAsia="en-GB"/>
        </w:rPr>
        <w:t>Desborough</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5.6</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KET/2015/0957</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21 The Drive,</w:t>
      </w:r>
      <w:r w:rsidRPr="005F1470">
        <w:rPr>
          <w:rFonts w:ascii="Arial" w:eastAsia="Times New Roman" w:hAnsi="Arial" w:cs="Arial"/>
          <w:color w:val="000000"/>
          <w:sz w:val="24"/>
          <w:szCs w:val="24"/>
          <w:lang w:eastAsia="en-GB"/>
        </w:rPr>
        <w:t xml:space="preserve"> Kettering</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p w:rsid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b/>
          <w:bCs/>
          <w:color w:val="000000"/>
          <w:sz w:val="24"/>
          <w:szCs w:val="24"/>
          <w:u w:val="single"/>
          <w:lang w:eastAsia="en-GB"/>
        </w:rPr>
      </w:pPr>
    </w:p>
    <w:p w:rsidR="005F1470" w:rsidRPr="005F1470" w:rsidRDefault="005F1470" w:rsidP="005F1470">
      <w:pPr>
        <w:tabs>
          <w:tab w:val="left" w:pos="373"/>
          <w:tab w:val="left" w:pos="923"/>
          <w:tab w:val="left" w:pos="1145"/>
          <w:tab w:val="left" w:pos="3043"/>
          <w:tab w:val="left" w:pos="4283"/>
          <w:tab w:val="left" w:pos="6223"/>
          <w:tab w:val="left" w:pos="9923"/>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5.7</w:t>
      </w:r>
      <w:r w:rsidRPr="005F1470">
        <w:rPr>
          <w:rFonts w:ascii="Arial" w:eastAsia="Times New Roman" w:hAnsi="Arial" w:cs="Arial"/>
          <w:color w:val="000000"/>
          <w:sz w:val="24"/>
          <w:szCs w:val="24"/>
          <w:lang w:eastAsia="en-GB"/>
        </w:rPr>
        <w:tab/>
      </w:r>
      <w:r w:rsidRPr="005F1470">
        <w:rPr>
          <w:rFonts w:ascii="Arial" w:eastAsia="Times New Roman" w:hAnsi="Arial" w:cs="Arial"/>
          <w:b/>
          <w:bCs/>
          <w:color w:val="000000"/>
          <w:sz w:val="24"/>
          <w:szCs w:val="24"/>
          <w:lang w:eastAsia="en-GB"/>
        </w:rPr>
        <w:t>KET/2015/0968</w:t>
      </w:r>
    </w:p>
    <w:p w:rsidR="005F1470"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ab/>
      </w:r>
      <w:r w:rsidRPr="005F1470">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20 and 24 Ise View Road (land between), </w:t>
      </w:r>
      <w:r w:rsidRPr="005F1470">
        <w:rPr>
          <w:rFonts w:ascii="Arial" w:eastAsia="Times New Roman" w:hAnsi="Arial" w:cs="Arial"/>
          <w:color w:val="000000"/>
          <w:sz w:val="24"/>
          <w:szCs w:val="24"/>
          <w:lang w:eastAsia="en-GB"/>
        </w:rPr>
        <w:t>Desborough</w:t>
      </w:r>
    </w:p>
    <w:p w:rsid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p>
    <w:p w:rsidR="00B45D25" w:rsidRPr="005F1470" w:rsidRDefault="005F1470" w:rsidP="005F1470">
      <w:pPr>
        <w:tabs>
          <w:tab w:val="left" w:pos="373"/>
          <w:tab w:val="left" w:pos="923"/>
          <w:tab w:val="left" w:pos="1145"/>
        </w:tabs>
        <w:spacing w:after="0" w:line="240" w:lineRule="auto"/>
        <w:ind w:left="93"/>
        <w:rPr>
          <w:rFonts w:ascii="Arial" w:eastAsia="Times New Roman" w:hAnsi="Arial" w:cs="Arial"/>
          <w:color w:val="000000"/>
          <w:sz w:val="24"/>
          <w:szCs w:val="24"/>
          <w:lang w:eastAsia="en-GB"/>
        </w:rPr>
      </w:pPr>
      <w:r w:rsidRPr="005F1470">
        <w:rPr>
          <w:rFonts w:ascii="Arial" w:eastAsia="Times New Roman" w:hAnsi="Arial" w:cs="Arial"/>
          <w:color w:val="000000"/>
          <w:sz w:val="24"/>
          <w:szCs w:val="24"/>
          <w:lang w:eastAsia="en-GB"/>
        </w:rPr>
        <w:t>No update.</w:t>
      </w:r>
    </w:p>
    <w:sectPr w:rsidR="00B45D25" w:rsidRPr="005F1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70"/>
    <w:rsid w:val="00300169"/>
    <w:rsid w:val="005F1470"/>
    <w:rsid w:val="00AD5552"/>
    <w:rsid w:val="00B45D25"/>
    <w:rsid w:val="00EA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Chamberlain</dc:creator>
  <cp:lastModifiedBy>Derek Chamberlain</cp:lastModifiedBy>
  <cp:revision>4</cp:revision>
  <cp:lastPrinted>2016-01-19T16:21:00Z</cp:lastPrinted>
  <dcterms:created xsi:type="dcterms:W3CDTF">2016-01-19T16:13:00Z</dcterms:created>
  <dcterms:modified xsi:type="dcterms:W3CDTF">2016-01-19T16:42:00Z</dcterms:modified>
</cp:coreProperties>
</file>