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7E5C" w:rsidRDefault="006353F1">
      <w:pPr>
        <w:ind w:left="567" w:hanging="567"/>
        <w:jc w:val="both"/>
        <w:rPr>
          <w:b/>
          <w:sz w:val="24"/>
        </w:rPr>
      </w:pPr>
      <w:r>
        <w:rPr>
          <w:b/>
          <w:noProof/>
          <w:sz w:val="24"/>
          <w:lang w:eastAsia="en-GB"/>
        </w:rPr>
        <mc:AlternateContent>
          <mc:Choice Requires="wps">
            <w:drawing>
              <wp:anchor distT="0" distB="0" distL="114300" distR="114300" simplePos="0" relativeHeight="251657216" behindDoc="0" locked="0" layoutInCell="1" allowOverlap="1" wp14:anchorId="61026718" wp14:editId="3439ED4B">
                <wp:simplePos x="0" y="0"/>
                <wp:positionH relativeFrom="column">
                  <wp:posOffset>-114300</wp:posOffset>
                </wp:positionH>
                <wp:positionV relativeFrom="paragraph">
                  <wp:posOffset>180340</wp:posOffset>
                </wp:positionV>
                <wp:extent cx="5829300" cy="8782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8205"/>
                        </a:xfrm>
                        <a:prstGeom prst="rect">
                          <a:avLst/>
                        </a:prstGeom>
                        <a:solidFill>
                          <a:srgbClr val="FFFFFF"/>
                        </a:solidFill>
                        <a:ln w="9525">
                          <a:solidFill>
                            <a:srgbClr val="000000"/>
                          </a:solidFill>
                          <a:miter lim="800000"/>
                          <a:headEnd/>
                          <a:tailEnd/>
                        </a:ln>
                      </wps:spPr>
                      <wps:txbx>
                        <w:txbxContent>
                          <w:p w:rsidR="001C74B7" w:rsidRDefault="001C74B7" w:rsidP="002E290E">
                            <w:pPr>
                              <w:numPr>
                                <w:ilvl w:val="0"/>
                                <w:numId w:val="6"/>
                              </w:numPr>
                              <w:tabs>
                                <w:tab w:val="clear" w:pos="360"/>
                              </w:tabs>
                              <w:ind w:left="567" w:hanging="567"/>
                              <w:jc w:val="both"/>
                              <w:rPr>
                                <w:b/>
                                <w:sz w:val="24"/>
                                <w:u w:val="single"/>
                              </w:rPr>
                            </w:pPr>
                            <w:r w:rsidRPr="002E290E">
                              <w:rPr>
                                <w:b/>
                                <w:sz w:val="24"/>
                                <w:u w:val="single"/>
                              </w:rPr>
                              <w:t>PURPOSE OF REPORT</w:t>
                            </w:r>
                          </w:p>
                          <w:p w:rsidR="002E290E" w:rsidRDefault="002E290E" w:rsidP="002E290E">
                            <w:pPr>
                              <w:jc w:val="both"/>
                              <w:rPr>
                                <w:b/>
                                <w:sz w:val="24"/>
                                <w:u w:val="single"/>
                              </w:rPr>
                            </w:pPr>
                          </w:p>
                          <w:p w:rsidR="001C74B7" w:rsidRPr="001D4DFB" w:rsidRDefault="007D14C0" w:rsidP="002E290E">
                            <w:pPr>
                              <w:spacing w:afterLines="50" w:after="120"/>
                              <w:jc w:val="both"/>
                              <w:rPr>
                                <w:sz w:val="24"/>
                              </w:rPr>
                            </w:pPr>
                            <w:r w:rsidRPr="007D14C0">
                              <w:rPr>
                                <w:sz w:val="24"/>
                              </w:rPr>
                              <w:t>To set out the contents of the capacity bid, the terms of the award made and the progress to date in using the capacity funds</w:t>
                            </w:r>
                            <w:r w:rsidR="001D4DFB">
                              <w:rPr>
                                <w:sz w:val="2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2pt;width:459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">
                <v:textbox style="mso-fit-shape-to-text:t">
                  <w:txbxContent>
                    <w:p w:rsidR="001C74B7" w:rsidRDefault="001C74B7" w:rsidP="002E290E">
                      <w:pPr>
                        <w:numPr>
                          <w:ilvl w:val="0"/>
                          <w:numId w:val="6"/>
                        </w:numPr>
                        <w:tabs>
                          <w:tab w:val="clear" w:pos="360"/>
                        </w:tabs>
                        <w:ind w:left="567" w:hanging="567"/>
                        <w:jc w:val="both"/>
                        <w:rPr>
                          <w:b/>
                          <w:sz w:val="24"/>
                          <w:u w:val="single"/>
                        </w:rPr>
                      </w:pPr>
                      <w:r w:rsidRPr="002E290E">
                        <w:rPr>
                          <w:b/>
                          <w:sz w:val="24"/>
                          <w:u w:val="single"/>
                        </w:rPr>
                        <w:t>PURPOSE OF REPORT</w:t>
                      </w:r>
                    </w:p>
                    <w:p w:rsidR="002E290E" w:rsidRDefault="002E290E" w:rsidP="002E290E">
                      <w:pPr>
                        <w:jc w:val="both"/>
                        <w:rPr>
                          <w:b/>
                          <w:sz w:val="24"/>
                          <w:u w:val="single"/>
                        </w:rPr>
                      </w:pPr>
                    </w:p>
                    <w:p w:rsidR="001C74B7" w:rsidRPr="001D4DFB" w:rsidRDefault="007D14C0" w:rsidP="002E290E">
                      <w:pPr>
                        <w:spacing w:afterLines="50" w:after="120"/>
                        <w:jc w:val="both"/>
                        <w:rPr>
                          <w:sz w:val="24"/>
                        </w:rPr>
                      </w:pPr>
                      <w:r w:rsidRPr="007D14C0">
                        <w:rPr>
                          <w:sz w:val="24"/>
                        </w:rPr>
                        <w:t>To set out the contents of the capacity bid, the terms of the award made and the progress to date in using the capacity funds</w:t>
                      </w:r>
                      <w:r w:rsidR="001D4DFB">
                        <w:rPr>
                          <w:sz w:val="24"/>
                        </w:rPr>
                        <w:t>.</w:t>
                      </w:r>
                    </w:p>
                  </w:txbxContent>
                </v:textbox>
                <w10:wrap type="square"/>
              </v:shape>
            </w:pict>
          </mc:Fallback>
        </mc:AlternateContent>
      </w:r>
      <w:r w:rsidR="00747E5C">
        <w:rPr>
          <w:b/>
          <w:sz w:val="24"/>
        </w:rPr>
        <w:tab/>
      </w:r>
    </w:p>
    <w:p w:rsidR="00747E5C" w:rsidRDefault="00747E5C">
      <w:pPr>
        <w:ind w:left="567" w:hanging="567"/>
        <w:jc w:val="both"/>
        <w:rPr>
          <w:b/>
          <w:sz w:val="24"/>
          <w:u w:val="single"/>
        </w:rPr>
      </w:pPr>
    </w:p>
    <w:p w:rsidR="00747E5C" w:rsidRPr="002E290E" w:rsidRDefault="00747E5C" w:rsidP="002E290E">
      <w:pPr>
        <w:numPr>
          <w:ilvl w:val="0"/>
          <w:numId w:val="5"/>
        </w:numPr>
        <w:tabs>
          <w:tab w:val="clear" w:pos="360"/>
        </w:tabs>
        <w:ind w:left="567" w:hanging="567"/>
        <w:jc w:val="both"/>
        <w:rPr>
          <w:sz w:val="24"/>
          <w:u w:val="single"/>
        </w:rPr>
      </w:pPr>
      <w:r w:rsidRPr="002E290E">
        <w:rPr>
          <w:b/>
          <w:sz w:val="24"/>
          <w:u w:val="single"/>
        </w:rPr>
        <w:t>INFORMATIO</w:t>
      </w:r>
      <w:r w:rsidR="00A02F74" w:rsidRPr="002E290E">
        <w:rPr>
          <w:b/>
          <w:sz w:val="24"/>
          <w:u w:val="single"/>
        </w:rPr>
        <w:t>N</w:t>
      </w:r>
    </w:p>
    <w:p w:rsidR="00D13152" w:rsidRDefault="00D13152" w:rsidP="002E290E">
      <w:pPr>
        <w:jc w:val="both"/>
        <w:rPr>
          <w:sz w:val="24"/>
          <w:u w:val="single"/>
        </w:rPr>
      </w:pPr>
    </w:p>
    <w:p w:rsidR="007B6870" w:rsidRDefault="00F61FB9" w:rsidP="006153F7">
      <w:pPr>
        <w:pStyle w:val="Default"/>
        <w:jc w:val="both"/>
        <w:rPr>
          <w:rFonts w:cs="Times New Roman"/>
          <w:color w:val="auto"/>
          <w:szCs w:val="20"/>
          <w:lang w:eastAsia="en-US"/>
        </w:rPr>
      </w:pPr>
      <w:r>
        <w:rPr>
          <w:rFonts w:cs="Times New Roman"/>
          <w:color w:val="auto"/>
          <w:szCs w:val="20"/>
          <w:lang w:eastAsia="en-US"/>
        </w:rPr>
        <w:t>2.1</w:t>
      </w:r>
      <w:r>
        <w:rPr>
          <w:rFonts w:cs="Times New Roman"/>
          <w:color w:val="auto"/>
          <w:szCs w:val="20"/>
          <w:lang w:eastAsia="en-US"/>
        </w:rPr>
        <w:tab/>
      </w:r>
      <w:r w:rsidR="000A382C">
        <w:rPr>
          <w:rFonts w:cs="Times New Roman"/>
          <w:color w:val="auto"/>
          <w:szCs w:val="20"/>
          <w:lang w:eastAsia="en-US"/>
        </w:rPr>
        <w:t xml:space="preserve">As you may recall a paper was brought to this committee in August to give </w:t>
      </w:r>
      <w:r w:rsidR="00EB6C41">
        <w:rPr>
          <w:rFonts w:cs="Times New Roman"/>
          <w:color w:val="auto"/>
          <w:szCs w:val="20"/>
          <w:lang w:eastAsia="en-US"/>
        </w:rPr>
        <w:tab/>
      </w:r>
      <w:r w:rsidR="000A382C">
        <w:rPr>
          <w:rFonts w:cs="Times New Roman"/>
          <w:color w:val="auto"/>
          <w:szCs w:val="20"/>
          <w:lang w:eastAsia="en-US"/>
        </w:rPr>
        <w:t>members an update. T</w:t>
      </w:r>
      <w:r w:rsidR="00EB6C41">
        <w:rPr>
          <w:rFonts w:cs="Times New Roman"/>
          <w:color w:val="auto"/>
          <w:szCs w:val="20"/>
          <w:lang w:eastAsia="en-US"/>
        </w:rPr>
        <w:t>he bid in principal will</w:t>
      </w:r>
      <w:r w:rsidR="000A382C">
        <w:rPr>
          <w:rFonts w:cs="Times New Roman"/>
          <w:color w:val="auto"/>
          <w:szCs w:val="20"/>
          <w:lang w:eastAsia="en-US"/>
        </w:rPr>
        <w:t xml:space="preserve"> set</w:t>
      </w:r>
      <w:r w:rsidR="007D14C0" w:rsidRPr="007D14C0">
        <w:rPr>
          <w:rFonts w:cs="Times New Roman"/>
          <w:color w:val="auto"/>
          <w:szCs w:val="20"/>
          <w:lang w:eastAsia="en-US"/>
        </w:rPr>
        <w:t xml:space="preserve"> out the investment, in kind and </w:t>
      </w:r>
      <w:r w:rsidR="00EB6C41">
        <w:rPr>
          <w:rFonts w:cs="Times New Roman"/>
          <w:color w:val="auto"/>
          <w:szCs w:val="20"/>
          <w:lang w:eastAsia="en-US"/>
        </w:rPr>
        <w:tab/>
        <w:t xml:space="preserve">in cash, that local </w:t>
      </w:r>
      <w:r w:rsidR="007D14C0" w:rsidRPr="007D14C0">
        <w:rPr>
          <w:rFonts w:cs="Times New Roman"/>
          <w:color w:val="auto"/>
          <w:szCs w:val="20"/>
          <w:lang w:eastAsia="en-US"/>
        </w:rPr>
        <w:t xml:space="preserve">authorities were already putting into the growth agenda and </w:t>
      </w:r>
      <w:r w:rsidR="00EB6C41">
        <w:rPr>
          <w:rFonts w:cs="Times New Roman"/>
          <w:color w:val="auto"/>
          <w:szCs w:val="20"/>
          <w:lang w:eastAsia="en-US"/>
        </w:rPr>
        <w:tab/>
      </w:r>
      <w:r w:rsidR="007D14C0" w:rsidRPr="007D14C0">
        <w:rPr>
          <w:rFonts w:cs="Times New Roman"/>
          <w:color w:val="auto"/>
          <w:szCs w:val="20"/>
          <w:lang w:eastAsia="en-US"/>
        </w:rPr>
        <w:t xml:space="preserve">the additional resources required, and asked government to bear a fair share of </w:t>
      </w:r>
      <w:r w:rsidR="00EB6C41">
        <w:rPr>
          <w:rFonts w:cs="Times New Roman"/>
          <w:color w:val="auto"/>
          <w:szCs w:val="20"/>
          <w:lang w:eastAsia="en-US"/>
        </w:rPr>
        <w:tab/>
      </w:r>
      <w:r w:rsidR="007D14C0" w:rsidRPr="007D14C0">
        <w:rPr>
          <w:rFonts w:cs="Times New Roman"/>
          <w:color w:val="auto"/>
          <w:szCs w:val="20"/>
          <w:lang w:eastAsia="en-US"/>
        </w:rPr>
        <w:t>that.</w:t>
      </w:r>
    </w:p>
    <w:p w:rsidR="00F61FB9" w:rsidRDefault="00F61FB9" w:rsidP="006153F7">
      <w:pPr>
        <w:pStyle w:val="Default"/>
        <w:jc w:val="both"/>
        <w:rPr>
          <w:rFonts w:cs="Times New Roman"/>
          <w:color w:val="auto"/>
          <w:szCs w:val="20"/>
          <w:lang w:eastAsia="en-US"/>
        </w:rPr>
      </w:pPr>
    </w:p>
    <w:p w:rsidR="00F61FB9" w:rsidRDefault="00F61FB9" w:rsidP="006153F7">
      <w:pPr>
        <w:pStyle w:val="Default"/>
        <w:jc w:val="both"/>
      </w:pPr>
      <w:r>
        <w:t>2.2</w:t>
      </w:r>
      <w:r>
        <w:tab/>
      </w:r>
      <w:r w:rsidRPr="00F61FB9">
        <w:t>The award made in the</w:t>
      </w:r>
      <w:r w:rsidR="000A382C">
        <w:t xml:space="preserve"> spring budget was of £750,000.</w:t>
      </w:r>
    </w:p>
    <w:p w:rsidR="000A382C" w:rsidRDefault="000A382C" w:rsidP="006153F7">
      <w:pPr>
        <w:pStyle w:val="Default"/>
        <w:jc w:val="both"/>
      </w:pPr>
    </w:p>
    <w:p w:rsidR="00F61FB9" w:rsidRDefault="00F61FB9" w:rsidP="006153F7">
      <w:pPr>
        <w:pStyle w:val="Default"/>
        <w:jc w:val="both"/>
      </w:pPr>
      <w:r>
        <w:t>2.3</w:t>
      </w:r>
      <w:r>
        <w:tab/>
      </w:r>
      <w:r w:rsidRPr="00F61FB9">
        <w:t xml:space="preserve">The award was, nevertheless, less than had been sought and some trimming of </w:t>
      </w:r>
      <w:r>
        <w:tab/>
      </w:r>
      <w:r w:rsidRPr="00F61FB9">
        <w:t>the intended budget took place. The resul</w:t>
      </w:r>
      <w:r w:rsidR="000A382C">
        <w:t>ting budget for the programme was</w:t>
      </w:r>
      <w:r w:rsidRPr="00F61FB9">
        <w:t xml:space="preserve"> </w:t>
      </w:r>
      <w:r>
        <w:tab/>
      </w:r>
      <w:r w:rsidRPr="00F61FB9">
        <w:t>therefore:-</w:t>
      </w:r>
    </w:p>
    <w:p w:rsidR="007B6870" w:rsidRDefault="007B6870" w:rsidP="002E290E">
      <w:pPr>
        <w:ind w:left="567" w:hanging="567"/>
        <w:jc w:val="both"/>
        <w:rPr>
          <w:sz w:val="24"/>
        </w:rPr>
      </w:pPr>
    </w:p>
    <w:p w:rsidR="00D9356B" w:rsidRPr="003D0C4B" w:rsidRDefault="003D0C4B" w:rsidP="002E290E">
      <w:pPr>
        <w:ind w:left="567" w:hanging="567"/>
        <w:jc w:val="both"/>
        <w:rPr>
          <w:b/>
          <w:sz w:val="24"/>
        </w:rPr>
      </w:pPr>
      <w:r w:rsidRPr="003D0C4B">
        <w:rPr>
          <w:b/>
          <w:sz w:val="24"/>
        </w:rPr>
        <w:tab/>
      </w:r>
      <w:r w:rsidR="00D9356B" w:rsidRPr="003D0C4B">
        <w:rPr>
          <w:b/>
          <w:sz w:val="24"/>
        </w:rPr>
        <w:t>Table 1 – Capacity Fund Share of Resource Requirement 2015/16 (£000s)</w:t>
      </w:r>
    </w:p>
    <w:p w:rsidR="00D9356B" w:rsidRDefault="00D9356B" w:rsidP="002E290E">
      <w:pPr>
        <w:ind w:left="567" w:hanging="567"/>
        <w:jc w:val="both"/>
        <w:rPr>
          <w:sz w:val="24"/>
        </w:rPr>
      </w:pPr>
    </w:p>
    <w:tbl>
      <w:tblPr>
        <w:tblStyle w:val="TableGrid"/>
        <w:tblW w:w="8755" w:type="dxa"/>
        <w:tblInd w:w="567" w:type="dxa"/>
        <w:tblLook w:val="04A0" w:firstRow="1" w:lastRow="0" w:firstColumn="1" w:lastColumn="0" w:noHBand="0" w:noVBand="1"/>
      </w:tblPr>
      <w:tblGrid>
        <w:gridCol w:w="2063"/>
        <w:gridCol w:w="3857"/>
        <w:gridCol w:w="1365"/>
        <w:gridCol w:w="1470"/>
      </w:tblGrid>
      <w:tr w:rsidR="000A382C" w:rsidRPr="00D9356B" w:rsidTr="00715C88">
        <w:tc>
          <w:tcPr>
            <w:tcW w:w="2063" w:type="dxa"/>
          </w:tcPr>
          <w:p w:rsidR="000A382C" w:rsidRPr="00D9356B" w:rsidRDefault="000A382C" w:rsidP="002E290E">
            <w:pPr>
              <w:jc w:val="both"/>
              <w:rPr>
                <w:b/>
                <w:sz w:val="24"/>
              </w:rPr>
            </w:pPr>
            <w:r w:rsidRPr="00D9356B">
              <w:rPr>
                <w:b/>
                <w:sz w:val="24"/>
              </w:rPr>
              <w:t>Item</w:t>
            </w:r>
          </w:p>
        </w:tc>
        <w:tc>
          <w:tcPr>
            <w:tcW w:w="3857" w:type="dxa"/>
          </w:tcPr>
          <w:p w:rsidR="000A382C" w:rsidRPr="00D9356B" w:rsidRDefault="000A382C" w:rsidP="002E290E">
            <w:pPr>
              <w:jc w:val="both"/>
              <w:rPr>
                <w:b/>
                <w:sz w:val="24"/>
              </w:rPr>
            </w:pPr>
            <w:r w:rsidRPr="00D9356B">
              <w:rPr>
                <w:b/>
                <w:sz w:val="24"/>
              </w:rPr>
              <w:t>Descriptor</w:t>
            </w:r>
          </w:p>
        </w:tc>
        <w:tc>
          <w:tcPr>
            <w:tcW w:w="1365" w:type="dxa"/>
          </w:tcPr>
          <w:p w:rsidR="000A382C" w:rsidRPr="00D9356B" w:rsidRDefault="000A382C" w:rsidP="002E290E">
            <w:pPr>
              <w:jc w:val="both"/>
              <w:rPr>
                <w:b/>
                <w:sz w:val="24"/>
              </w:rPr>
            </w:pPr>
            <w:r w:rsidRPr="00D9356B">
              <w:rPr>
                <w:b/>
                <w:sz w:val="24"/>
              </w:rPr>
              <w:t>Revised Cost</w:t>
            </w:r>
          </w:p>
        </w:tc>
        <w:tc>
          <w:tcPr>
            <w:tcW w:w="1470" w:type="dxa"/>
          </w:tcPr>
          <w:p w:rsidR="000A382C" w:rsidRPr="00D9356B" w:rsidRDefault="00FF0462" w:rsidP="002E290E">
            <w:pPr>
              <w:jc w:val="both"/>
              <w:rPr>
                <w:b/>
                <w:sz w:val="24"/>
              </w:rPr>
            </w:pPr>
            <w:r>
              <w:rPr>
                <w:b/>
                <w:sz w:val="24"/>
              </w:rPr>
              <w:t>As at Oct Committed</w:t>
            </w:r>
            <w:r w:rsidR="000A382C">
              <w:rPr>
                <w:b/>
                <w:sz w:val="24"/>
              </w:rPr>
              <w:t xml:space="preserve"> Spend</w:t>
            </w:r>
          </w:p>
        </w:tc>
      </w:tr>
      <w:tr w:rsidR="000A382C" w:rsidTr="00715C88">
        <w:tc>
          <w:tcPr>
            <w:tcW w:w="2063" w:type="dxa"/>
          </w:tcPr>
          <w:p w:rsidR="000A382C" w:rsidRPr="00D9356B" w:rsidRDefault="000A382C" w:rsidP="002E290E">
            <w:pPr>
              <w:jc w:val="both"/>
              <w:rPr>
                <w:sz w:val="24"/>
              </w:rPr>
            </w:pPr>
            <w:r w:rsidRPr="00D9356B">
              <w:rPr>
                <w:sz w:val="24"/>
              </w:rPr>
              <w:t>Senior Management</w:t>
            </w:r>
          </w:p>
        </w:tc>
        <w:tc>
          <w:tcPr>
            <w:tcW w:w="3857" w:type="dxa"/>
          </w:tcPr>
          <w:p w:rsidR="000A382C" w:rsidRPr="00D9356B" w:rsidRDefault="000A382C" w:rsidP="00D9356B">
            <w:pPr>
              <w:rPr>
                <w:sz w:val="24"/>
              </w:rPr>
            </w:pPr>
            <w:r w:rsidRPr="00D9356B">
              <w:rPr>
                <w:sz w:val="24"/>
              </w:rPr>
              <w:t>Time spent on Growth and support for partnership structures</w:t>
            </w:r>
          </w:p>
        </w:tc>
        <w:tc>
          <w:tcPr>
            <w:tcW w:w="1365" w:type="dxa"/>
          </w:tcPr>
          <w:p w:rsidR="000A382C" w:rsidRPr="00D9356B" w:rsidRDefault="000A382C" w:rsidP="00D9356B">
            <w:pPr>
              <w:jc w:val="right"/>
              <w:rPr>
                <w:sz w:val="24"/>
              </w:rPr>
            </w:pPr>
            <w:r w:rsidRPr="00D9356B">
              <w:rPr>
                <w:sz w:val="24"/>
              </w:rPr>
              <w:t>20</w:t>
            </w:r>
          </w:p>
        </w:tc>
        <w:tc>
          <w:tcPr>
            <w:tcW w:w="1470" w:type="dxa"/>
          </w:tcPr>
          <w:p w:rsidR="000A382C" w:rsidRPr="00D9356B" w:rsidRDefault="000A382C" w:rsidP="00D9356B">
            <w:pPr>
              <w:jc w:val="right"/>
              <w:rPr>
                <w:sz w:val="24"/>
              </w:rPr>
            </w:pPr>
            <w:r>
              <w:rPr>
                <w:sz w:val="24"/>
              </w:rPr>
              <w:t>7</w:t>
            </w:r>
          </w:p>
        </w:tc>
      </w:tr>
      <w:tr w:rsidR="000A382C" w:rsidTr="00715C88">
        <w:tc>
          <w:tcPr>
            <w:tcW w:w="2063" w:type="dxa"/>
          </w:tcPr>
          <w:p w:rsidR="000A382C" w:rsidRPr="00D9356B" w:rsidRDefault="000A382C" w:rsidP="00D9356B">
            <w:pPr>
              <w:rPr>
                <w:sz w:val="24"/>
              </w:rPr>
            </w:pPr>
            <w:r w:rsidRPr="00D9356B">
              <w:rPr>
                <w:sz w:val="24"/>
              </w:rPr>
              <w:t>Growth Manager Post</w:t>
            </w:r>
          </w:p>
        </w:tc>
        <w:tc>
          <w:tcPr>
            <w:tcW w:w="3857" w:type="dxa"/>
          </w:tcPr>
          <w:p w:rsidR="000A382C" w:rsidRPr="00D9356B" w:rsidRDefault="000A382C" w:rsidP="00D9356B">
            <w:pPr>
              <w:rPr>
                <w:sz w:val="24"/>
              </w:rPr>
            </w:pPr>
            <w:r w:rsidRPr="00D9356B">
              <w:rPr>
                <w:sz w:val="24"/>
              </w:rPr>
              <w:t>Delivery Unit Manager and Project Management Resource</w:t>
            </w:r>
          </w:p>
        </w:tc>
        <w:tc>
          <w:tcPr>
            <w:tcW w:w="1365" w:type="dxa"/>
          </w:tcPr>
          <w:p w:rsidR="000A382C" w:rsidRPr="00D9356B" w:rsidRDefault="000A382C" w:rsidP="00D9356B">
            <w:pPr>
              <w:jc w:val="right"/>
              <w:rPr>
                <w:sz w:val="24"/>
              </w:rPr>
            </w:pPr>
            <w:r>
              <w:rPr>
                <w:sz w:val="24"/>
              </w:rPr>
              <w:t>67</w:t>
            </w:r>
          </w:p>
        </w:tc>
        <w:tc>
          <w:tcPr>
            <w:tcW w:w="1470" w:type="dxa"/>
          </w:tcPr>
          <w:p w:rsidR="000A382C" w:rsidRDefault="000A382C" w:rsidP="00D9356B">
            <w:pPr>
              <w:jc w:val="right"/>
              <w:rPr>
                <w:sz w:val="24"/>
              </w:rPr>
            </w:pPr>
            <w:r>
              <w:rPr>
                <w:sz w:val="24"/>
              </w:rPr>
              <w:t>42</w:t>
            </w:r>
          </w:p>
        </w:tc>
      </w:tr>
      <w:tr w:rsidR="000A382C" w:rsidTr="00715C88">
        <w:tc>
          <w:tcPr>
            <w:tcW w:w="2063" w:type="dxa"/>
          </w:tcPr>
          <w:p w:rsidR="000A382C" w:rsidRPr="00D9356B" w:rsidRDefault="000A382C" w:rsidP="00D9356B">
            <w:pPr>
              <w:rPr>
                <w:sz w:val="24"/>
              </w:rPr>
            </w:pPr>
            <w:r>
              <w:rPr>
                <w:sz w:val="24"/>
              </w:rPr>
              <w:t>Project Officer</w:t>
            </w:r>
          </w:p>
        </w:tc>
        <w:tc>
          <w:tcPr>
            <w:tcW w:w="3857" w:type="dxa"/>
          </w:tcPr>
          <w:p w:rsidR="000A382C" w:rsidRPr="00D9356B" w:rsidRDefault="00EB6C41" w:rsidP="00D9356B">
            <w:pPr>
              <w:rPr>
                <w:sz w:val="24"/>
              </w:rPr>
            </w:pPr>
            <w:r>
              <w:rPr>
                <w:sz w:val="24"/>
              </w:rPr>
              <w:t>To assist in coordinating and driving the delivery of the consented Sustainable Urban Extensions (SUEs) and associated infrastructure, including leading and managing specific projects.</w:t>
            </w:r>
          </w:p>
        </w:tc>
        <w:tc>
          <w:tcPr>
            <w:tcW w:w="1365" w:type="dxa"/>
          </w:tcPr>
          <w:p w:rsidR="000A382C" w:rsidRDefault="000A382C" w:rsidP="00D9356B">
            <w:pPr>
              <w:jc w:val="right"/>
              <w:rPr>
                <w:sz w:val="24"/>
              </w:rPr>
            </w:pPr>
            <w:r>
              <w:rPr>
                <w:sz w:val="24"/>
              </w:rPr>
              <w:t>50</w:t>
            </w:r>
          </w:p>
        </w:tc>
        <w:tc>
          <w:tcPr>
            <w:tcW w:w="1470" w:type="dxa"/>
          </w:tcPr>
          <w:p w:rsidR="000A382C" w:rsidRDefault="000A382C" w:rsidP="00D9356B">
            <w:pPr>
              <w:jc w:val="right"/>
              <w:rPr>
                <w:sz w:val="24"/>
              </w:rPr>
            </w:pPr>
            <w:r>
              <w:rPr>
                <w:sz w:val="24"/>
              </w:rPr>
              <w:t>0</w:t>
            </w:r>
          </w:p>
        </w:tc>
      </w:tr>
      <w:tr w:rsidR="000A382C" w:rsidTr="00715C88">
        <w:tc>
          <w:tcPr>
            <w:tcW w:w="2063" w:type="dxa"/>
          </w:tcPr>
          <w:p w:rsidR="000A382C" w:rsidRPr="00D9356B" w:rsidRDefault="000A382C" w:rsidP="00D9356B">
            <w:pPr>
              <w:rPr>
                <w:sz w:val="24"/>
              </w:rPr>
            </w:pPr>
            <w:r w:rsidRPr="00D9356B">
              <w:rPr>
                <w:sz w:val="24"/>
              </w:rPr>
              <w:t>Planning Staff</w:t>
            </w:r>
          </w:p>
        </w:tc>
        <w:tc>
          <w:tcPr>
            <w:tcW w:w="3857" w:type="dxa"/>
          </w:tcPr>
          <w:p w:rsidR="000A382C" w:rsidRPr="00D9356B" w:rsidRDefault="000A382C" w:rsidP="00D9356B">
            <w:pPr>
              <w:rPr>
                <w:sz w:val="24"/>
              </w:rPr>
            </w:pPr>
            <w:r w:rsidRPr="00D9356B">
              <w:rPr>
                <w:sz w:val="24"/>
              </w:rPr>
              <w:t>Additional Planning Staff for Delivering Unit</w:t>
            </w:r>
          </w:p>
        </w:tc>
        <w:tc>
          <w:tcPr>
            <w:tcW w:w="1365" w:type="dxa"/>
          </w:tcPr>
          <w:p w:rsidR="000A382C" w:rsidRDefault="000A382C" w:rsidP="00D9356B">
            <w:pPr>
              <w:jc w:val="right"/>
              <w:rPr>
                <w:sz w:val="24"/>
              </w:rPr>
            </w:pPr>
            <w:r>
              <w:rPr>
                <w:sz w:val="24"/>
              </w:rPr>
              <w:t>167</w:t>
            </w:r>
          </w:p>
        </w:tc>
        <w:tc>
          <w:tcPr>
            <w:tcW w:w="1470" w:type="dxa"/>
          </w:tcPr>
          <w:p w:rsidR="000A382C" w:rsidRDefault="000A382C" w:rsidP="00D9356B">
            <w:pPr>
              <w:jc w:val="right"/>
              <w:rPr>
                <w:sz w:val="24"/>
              </w:rPr>
            </w:pPr>
            <w:r>
              <w:rPr>
                <w:sz w:val="24"/>
              </w:rPr>
              <w:t>56</w:t>
            </w:r>
          </w:p>
        </w:tc>
      </w:tr>
      <w:tr w:rsidR="000A382C" w:rsidTr="00715C88">
        <w:tc>
          <w:tcPr>
            <w:tcW w:w="2063" w:type="dxa"/>
          </w:tcPr>
          <w:p w:rsidR="000A382C" w:rsidRPr="00D9356B" w:rsidRDefault="000A382C" w:rsidP="00D9356B">
            <w:pPr>
              <w:rPr>
                <w:sz w:val="24"/>
              </w:rPr>
            </w:pPr>
            <w:r w:rsidRPr="00D9356B">
              <w:rPr>
                <w:sz w:val="24"/>
              </w:rPr>
              <w:t>Highways Staff</w:t>
            </w:r>
          </w:p>
        </w:tc>
        <w:tc>
          <w:tcPr>
            <w:tcW w:w="3857" w:type="dxa"/>
          </w:tcPr>
          <w:p w:rsidR="000A382C" w:rsidRPr="00D9356B" w:rsidRDefault="000A382C" w:rsidP="00D9356B">
            <w:pPr>
              <w:rPr>
                <w:sz w:val="24"/>
              </w:rPr>
            </w:pPr>
            <w:r w:rsidRPr="00D9356B">
              <w:rPr>
                <w:sz w:val="24"/>
              </w:rPr>
              <w:t>Additional Highways Planners to work with Delivery Unit</w:t>
            </w:r>
          </w:p>
        </w:tc>
        <w:tc>
          <w:tcPr>
            <w:tcW w:w="1365" w:type="dxa"/>
          </w:tcPr>
          <w:p w:rsidR="000A382C" w:rsidRDefault="000A382C" w:rsidP="00D9356B">
            <w:pPr>
              <w:jc w:val="right"/>
              <w:rPr>
                <w:sz w:val="24"/>
              </w:rPr>
            </w:pPr>
            <w:r>
              <w:rPr>
                <w:sz w:val="24"/>
              </w:rPr>
              <w:t>108</w:t>
            </w:r>
          </w:p>
        </w:tc>
        <w:tc>
          <w:tcPr>
            <w:tcW w:w="1470" w:type="dxa"/>
          </w:tcPr>
          <w:p w:rsidR="000A382C" w:rsidRDefault="000A382C" w:rsidP="00D9356B">
            <w:pPr>
              <w:jc w:val="right"/>
              <w:rPr>
                <w:sz w:val="24"/>
              </w:rPr>
            </w:pPr>
            <w:r>
              <w:rPr>
                <w:sz w:val="24"/>
              </w:rPr>
              <w:t>0</w:t>
            </w:r>
          </w:p>
        </w:tc>
      </w:tr>
      <w:tr w:rsidR="000A382C" w:rsidTr="00715C88">
        <w:tc>
          <w:tcPr>
            <w:tcW w:w="2063" w:type="dxa"/>
          </w:tcPr>
          <w:p w:rsidR="000A382C" w:rsidRPr="00D9356B" w:rsidRDefault="000A382C" w:rsidP="00D9356B">
            <w:pPr>
              <w:rPr>
                <w:sz w:val="24"/>
              </w:rPr>
            </w:pPr>
            <w:r w:rsidRPr="00D9356B">
              <w:rPr>
                <w:sz w:val="24"/>
              </w:rPr>
              <w:t>Legal Capacity</w:t>
            </w:r>
          </w:p>
        </w:tc>
        <w:tc>
          <w:tcPr>
            <w:tcW w:w="3857" w:type="dxa"/>
          </w:tcPr>
          <w:p w:rsidR="000A382C" w:rsidRPr="00D9356B" w:rsidRDefault="000A382C" w:rsidP="00D9356B">
            <w:pPr>
              <w:rPr>
                <w:sz w:val="24"/>
              </w:rPr>
            </w:pPr>
            <w:r w:rsidRPr="00D9356B">
              <w:rPr>
                <w:sz w:val="24"/>
              </w:rPr>
              <w:t xml:space="preserve">Costs associated with delivery of SUEs and governance of unit, </w:t>
            </w:r>
            <w:proofErr w:type="spellStart"/>
            <w:r w:rsidRPr="00D9356B">
              <w:rPr>
                <w:sz w:val="24"/>
              </w:rPr>
              <w:t>etc</w:t>
            </w:r>
            <w:proofErr w:type="spellEnd"/>
          </w:p>
        </w:tc>
        <w:tc>
          <w:tcPr>
            <w:tcW w:w="1365" w:type="dxa"/>
          </w:tcPr>
          <w:p w:rsidR="000A382C" w:rsidRDefault="000A382C" w:rsidP="00D9356B">
            <w:pPr>
              <w:jc w:val="right"/>
              <w:rPr>
                <w:sz w:val="24"/>
              </w:rPr>
            </w:pPr>
            <w:r>
              <w:rPr>
                <w:sz w:val="24"/>
              </w:rPr>
              <w:t>75</w:t>
            </w:r>
          </w:p>
        </w:tc>
        <w:tc>
          <w:tcPr>
            <w:tcW w:w="1470" w:type="dxa"/>
          </w:tcPr>
          <w:p w:rsidR="000A382C" w:rsidRDefault="000A382C" w:rsidP="00D9356B">
            <w:pPr>
              <w:jc w:val="right"/>
              <w:rPr>
                <w:sz w:val="24"/>
              </w:rPr>
            </w:pPr>
            <w:r>
              <w:rPr>
                <w:sz w:val="24"/>
              </w:rPr>
              <w:t>0</w:t>
            </w:r>
          </w:p>
        </w:tc>
      </w:tr>
    </w:tbl>
    <w:p w:rsidR="00715C88" w:rsidRDefault="00715C88"/>
    <w:tbl>
      <w:tblPr>
        <w:tblStyle w:val="TableGrid"/>
        <w:tblW w:w="8755" w:type="dxa"/>
        <w:tblInd w:w="567" w:type="dxa"/>
        <w:tblLook w:val="04A0" w:firstRow="1" w:lastRow="0" w:firstColumn="1" w:lastColumn="0" w:noHBand="0" w:noVBand="1"/>
      </w:tblPr>
      <w:tblGrid>
        <w:gridCol w:w="2063"/>
        <w:gridCol w:w="3857"/>
        <w:gridCol w:w="1365"/>
        <w:gridCol w:w="1470"/>
      </w:tblGrid>
      <w:tr w:rsidR="000A382C" w:rsidTr="00715C88">
        <w:tc>
          <w:tcPr>
            <w:tcW w:w="2063" w:type="dxa"/>
          </w:tcPr>
          <w:p w:rsidR="000A382C" w:rsidRDefault="000A382C" w:rsidP="00092458">
            <w:pPr>
              <w:pStyle w:val="Default"/>
              <w:rPr>
                <w:sz w:val="23"/>
                <w:szCs w:val="23"/>
              </w:rPr>
            </w:pPr>
            <w:r>
              <w:rPr>
                <w:sz w:val="23"/>
                <w:szCs w:val="23"/>
              </w:rPr>
              <w:t xml:space="preserve">Viability Testing </w:t>
            </w:r>
          </w:p>
        </w:tc>
        <w:tc>
          <w:tcPr>
            <w:tcW w:w="3857" w:type="dxa"/>
          </w:tcPr>
          <w:p w:rsidR="000A382C" w:rsidRDefault="000A382C" w:rsidP="00092458">
            <w:pPr>
              <w:pStyle w:val="Default"/>
              <w:rPr>
                <w:sz w:val="23"/>
                <w:szCs w:val="23"/>
              </w:rPr>
            </w:pPr>
            <w:r>
              <w:rPr>
                <w:sz w:val="23"/>
                <w:szCs w:val="23"/>
              </w:rPr>
              <w:t xml:space="preserve">External Consultative Advice/Negotiations </w:t>
            </w:r>
          </w:p>
        </w:tc>
        <w:tc>
          <w:tcPr>
            <w:tcW w:w="1365" w:type="dxa"/>
          </w:tcPr>
          <w:p w:rsidR="000A382C" w:rsidRDefault="000A382C" w:rsidP="00D9356B">
            <w:pPr>
              <w:jc w:val="right"/>
              <w:rPr>
                <w:sz w:val="24"/>
              </w:rPr>
            </w:pPr>
            <w:r>
              <w:rPr>
                <w:sz w:val="24"/>
              </w:rPr>
              <w:t>39</w:t>
            </w:r>
          </w:p>
        </w:tc>
        <w:tc>
          <w:tcPr>
            <w:tcW w:w="1470" w:type="dxa"/>
          </w:tcPr>
          <w:p w:rsidR="000A382C" w:rsidRDefault="000A382C" w:rsidP="00D9356B">
            <w:pPr>
              <w:jc w:val="right"/>
              <w:rPr>
                <w:sz w:val="24"/>
              </w:rPr>
            </w:pPr>
            <w:r>
              <w:rPr>
                <w:sz w:val="24"/>
              </w:rPr>
              <w:t>0</w:t>
            </w:r>
          </w:p>
        </w:tc>
      </w:tr>
      <w:tr w:rsidR="000A382C" w:rsidTr="00715C88">
        <w:tc>
          <w:tcPr>
            <w:tcW w:w="2063" w:type="dxa"/>
          </w:tcPr>
          <w:p w:rsidR="000A382C" w:rsidRDefault="000A382C" w:rsidP="00092458">
            <w:pPr>
              <w:pStyle w:val="Default"/>
              <w:rPr>
                <w:sz w:val="23"/>
                <w:szCs w:val="23"/>
              </w:rPr>
            </w:pPr>
            <w:r>
              <w:rPr>
                <w:sz w:val="23"/>
                <w:szCs w:val="23"/>
              </w:rPr>
              <w:t xml:space="preserve">Joint Planning Unit </w:t>
            </w:r>
          </w:p>
        </w:tc>
        <w:tc>
          <w:tcPr>
            <w:tcW w:w="3857" w:type="dxa"/>
          </w:tcPr>
          <w:p w:rsidR="000A382C" w:rsidRDefault="000A382C" w:rsidP="00092458">
            <w:pPr>
              <w:pStyle w:val="Default"/>
              <w:rPr>
                <w:sz w:val="23"/>
                <w:szCs w:val="23"/>
              </w:rPr>
            </w:pPr>
            <w:r>
              <w:rPr>
                <w:sz w:val="23"/>
                <w:szCs w:val="23"/>
              </w:rPr>
              <w:t xml:space="preserve">Additional support on specialist planning matters – ecology, heritage, sustainability, design, </w:t>
            </w:r>
            <w:proofErr w:type="spellStart"/>
            <w:r>
              <w:rPr>
                <w:sz w:val="23"/>
                <w:szCs w:val="23"/>
              </w:rPr>
              <w:t>etc</w:t>
            </w:r>
            <w:proofErr w:type="spellEnd"/>
            <w:r>
              <w:rPr>
                <w:sz w:val="23"/>
                <w:szCs w:val="23"/>
              </w:rPr>
              <w:t xml:space="preserve"> </w:t>
            </w:r>
          </w:p>
        </w:tc>
        <w:tc>
          <w:tcPr>
            <w:tcW w:w="1365" w:type="dxa"/>
          </w:tcPr>
          <w:p w:rsidR="000A382C" w:rsidRDefault="000A382C" w:rsidP="00D9356B">
            <w:pPr>
              <w:jc w:val="right"/>
              <w:rPr>
                <w:sz w:val="24"/>
              </w:rPr>
            </w:pPr>
            <w:r>
              <w:rPr>
                <w:sz w:val="24"/>
              </w:rPr>
              <w:t>29</w:t>
            </w:r>
          </w:p>
        </w:tc>
        <w:tc>
          <w:tcPr>
            <w:tcW w:w="1470" w:type="dxa"/>
          </w:tcPr>
          <w:p w:rsidR="000A382C" w:rsidRDefault="00FF0462" w:rsidP="00D9356B">
            <w:pPr>
              <w:jc w:val="right"/>
              <w:rPr>
                <w:sz w:val="24"/>
              </w:rPr>
            </w:pPr>
            <w:r>
              <w:rPr>
                <w:sz w:val="24"/>
              </w:rPr>
              <w:t>4</w:t>
            </w:r>
          </w:p>
        </w:tc>
      </w:tr>
      <w:tr w:rsidR="000A382C" w:rsidTr="00715C88">
        <w:tc>
          <w:tcPr>
            <w:tcW w:w="2063" w:type="dxa"/>
          </w:tcPr>
          <w:p w:rsidR="000A382C" w:rsidRDefault="000A382C" w:rsidP="00092458">
            <w:pPr>
              <w:pStyle w:val="Default"/>
              <w:rPr>
                <w:sz w:val="23"/>
                <w:szCs w:val="23"/>
              </w:rPr>
            </w:pPr>
            <w:r>
              <w:rPr>
                <w:sz w:val="23"/>
                <w:szCs w:val="23"/>
              </w:rPr>
              <w:t xml:space="preserve">Community Engagement </w:t>
            </w:r>
          </w:p>
        </w:tc>
        <w:tc>
          <w:tcPr>
            <w:tcW w:w="3857" w:type="dxa"/>
          </w:tcPr>
          <w:p w:rsidR="000A382C" w:rsidRDefault="000A382C" w:rsidP="00092458">
            <w:pPr>
              <w:pStyle w:val="Default"/>
              <w:rPr>
                <w:sz w:val="23"/>
                <w:szCs w:val="23"/>
              </w:rPr>
            </w:pPr>
            <w:r>
              <w:rPr>
                <w:sz w:val="23"/>
                <w:szCs w:val="23"/>
              </w:rPr>
              <w:t xml:space="preserve">The Growth Community, as a concept, requires additional engagement above and beyond existing scope </w:t>
            </w:r>
          </w:p>
        </w:tc>
        <w:tc>
          <w:tcPr>
            <w:tcW w:w="1365" w:type="dxa"/>
          </w:tcPr>
          <w:p w:rsidR="000A382C" w:rsidRDefault="000A382C" w:rsidP="00D9356B">
            <w:pPr>
              <w:jc w:val="right"/>
              <w:rPr>
                <w:sz w:val="24"/>
              </w:rPr>
            </w:pPr>
            <w:r>
              <w:rPr>
                <w:sz w:val="24"/>
              </w:rPr>
              <w:t>24</w:t>
            </w:r>
          </w:p>
        </w:tc>
        <w:tc>
          <w:tcPr>
            <w:tcW w:w="1470" w:type="dxa"/>
          </w:tcPr>
          <w:p w:rsidR="000A382C" w:rsidRDefault="0026764D" w:rsidP="00D9356B">
            <w:pPr>
              <w:jc w:val="right"/>
              <w:rPr>
                <w:sz w:val="24"/>
              </w:rPr>
            </w:pPr>
            <w:r>
              <w:rPr>
                <w:sz w:val="24"/>
              </w:rPr>
              <w:t>3</w:t>
            </w:r>
          </w:p>
        </w:tc>
      </w:tr>
      <w:tr w:rsidR="000A382C" w:rsidTr="00715C88">
        <w:tc>
          <w:tcPr>
            <w:tcW w:w="2063" w:type="dxa"/>
          </w:tcPr>
          <w:p w:rsidR="000A382C" w:rsidRDefault="000A382C" w:rsidP="00092458">
            <w:pPr>
              <w:pStyle w:val="Default"/>
              <w:rPr>
                <w:sz w:val="23"/>
                <w:szCs w:val="23"/>
              </w:rPr>
            </w:pPr>
            <w:r>
              <w:rPr>
                <w:sz w:val="23"/>
                <w:szCs w:val="23"/>
              </w:rPr>
              <w:t xml:space="preserve">Economic Development </w:t>
            </w:r>
          </w:p>
        </w:tc>
        <w:tc>
          <w:tcPr>
            <w:tcW w:w="3857" w:type="dxa"/>
          </w:tcPr>
          <w:p w:rsidR="000A382C" w:rsidRDefault="000A382C" w:rsidP="00092458">
            <w:pPr>
              <w:pStyle w:val="Default"/>
              <w:rPr>
                <w:sz w:val="23"/>
                <w:szCs w:val="23"/>
              </w:rPr>
            </w:pPr>
            <w:r>
              <w:rPr>
                <w:sz w:val="23"/>
                <w:szCs w:val="23"/>
              </w:rPr>
              <w:t xml:space="preserve">Place marketing, promotional work, inward investment expertise, funding bids </w:t>
            </w:r>
          </w:p>
        </w:tc>
        <w:tc>
          <w:tcPr>
            <w:tcW w:w="1365" w:type="dxa"/>
          </w:tcPr>
          <w:p w:rsidR="000A382C" w:rsidRDefault="000A382C" w:rsidP="00D9356B">
            <w:pPr>
              <w:jc w:val="right"/>
              <w:rPr>
                <w:sz w:val="24"/>
              </w:rPr>
            </w:pPr>
            <w:r>
              <w:rPr>
                <w:sz w:val="24"/>
              </w:rPr>
              <w:t>47</w:t>
            </w:r>
          </w:p>
        </w:tc>
        <w:tc>
          <w:tcPr>
            <w:tcW w:w="1470" w:type="dxa"/>
          </w:tcPr>
          <w:p w:rsidR="000A382C" w:rsidRDefault="0026764D" w:rsidP="00D9356B">
            <w:pPr>
              <w:jc w:val="right"/>
              <w:rPr>
                <w:sz w:val="24"/>
              </w:rPr>
            </w:pPr>
            <w:r>
              <w:rPr>
                <w:sz w:val="24"/>
              </w:rPr>
              <w:t>0</w:t>
            </w:r>
          </w:p>
        </w:tc>
      </w:tr>
      <w:tr w:rsidR="000A382C" w:rsidRPr="00D9356B" w:rsidTr="00715C88">
        <w:tc>
          <w:tcPr>
            <w:tcW w:w="2063" w:type="dxa"/>
          </w:tcPr>
          <w:p w:rsidR="000A382C" w:rsidRPr="00D9356B" w:rsidRDefault="000A382C" w:rsidP="00092458">
            <w:pPr>
              <w:pStyle w:val="Default"/>
              <w:rPr>
                <w:b/>
                <w:sz w:val="23"/>
                <w:szCs w:val="23"/>
              </w:rPr>
            </w:pPr>
          </w:p>
        </w:tc>
        <w:tc>
          <w:tcPr>
            <w:tcW w:w="3857" w:type="dxa"/>
          </w:tcPr>
          <w:p w:rsidR="000A382C" w:rsidRPr="00D9356B" w:rsidRDefault="000A382C" w:rsidP="00092458">
            <w:pPr>
              <w:pStyle w:val="Default"/>
              <w:rPr>
                <w:b/>
                <w:sz w:val="23"/>
                <w:szCs w:val="23"/>
              </w:rPr>
            </w:pPr>
            <w:r w:rsidRPr="00D9356B">
              <w:rPr>
                <w:b/>
                <w:sz w:val="23"/>
                <w:szCs w:val="23"/>
              </w:rPr>
              <w:t>Sub Total</w:t>
            </w:r>
          </w:p>
        </w:tc>
        <w:tc>
          <w:tcPr>
            <w:tcW w:w="1365" w:type="dxa"/>
          </w:tcPr>
          <w:p w:rsidR="000A382C" w:rsidRPr="00D9356B" w:rsidRDefault="000A382C" w:rsidP="00D9356B">
            <w:pPr>
              <w:jc w:val="right"/>
              <w:rPr>
                <w:b/>
                <w:sz w:val="24"/>
              </w:rPr>
            </w:pPr>
            <w:r w:rsidRPr="00D9356B">
              <w:rPr>
                <w:b/>
                <w:sz w:val="24"/>
              </w:rPr>
              <w:t>574</w:t>
            </w:r>
          </w:p>
        </w:tc>
        <w:tc>
          <w:tcPr>
            <w:tcW w:w="1470" w:type="dxa"/>
          </w:tcPr>
          <w:p w:rsidR="000A382C" w:rsidRPr="00D9356B" w:rsidRDefault="00FF0462" w:rsidP="00D9356B">
            <w:pPr>
              <w:jc w:val="right"/>
              <w:rPr>
                <w:b/>
                <w:sz w:val="24"/>
              </w:rPr>
            </w:pPr>
            <w:r>
              <w:rPr>
                <w:b/>
                <w:sz w:val="24"/>
              </w:rPr>
              <w:t>112</w:t>
            </w:r>
          </w:p>
        </w:tc>
      </w:tr>
      <w:tr w:rsidR="000A382C" w:rsidRPr="00D9356B" w:rsidTr="00715C88">
        <w:tc>
          <w:tcPr>
            <w:tcW w:w="2063" w:type="dxa"/>
          </w:tcPr>
          <w:p w:rsidR="000A382C" w:rsidRPr="00D9356B" w:rsidRDefault="000A382C" w:rsidP="00092458">
            <w:pPr>
              <w:pStyle w:val="Default"/>
              <w:rPr>
                <w:b/>
                <w:sz w:val="23"/>
                <w:szCs w:val="23"/>
              </w:rPr>
            </w:pPr>
            <w:r w:rsidRPr="00D9356B">
              <w:rPr>
                <w:b/>
                <w:sz w:val="23"/>
                <w:szCs w:val="23"/>
              </w:rPr>
              <w:t>Assessments and Studies</w:t>
            </w:r>
          </w:p>
        </w:tc>
        <w:tc>
          <w:tcPr>
            <w:tcW w:w="3857" w:type="dxa"/>
          </w:tcPr>
          <w:p w:rsidR="000A382C" w:rsidRPr="00D9356B" w:rsidRDefault="000A382C" w:rsidP="00092458">
            <w:pPr>
              <w:pStyle w:val="Default"/>
              <w:rPr>
                <w:b/>
                <w:sz w:val="23"/>
                <w:szCs w:val="23"/>
              </w:rPr>
            </w:pPr>
          </w:p>
        </w:tc>
        <w:tc>
          <w:tcPr>
            <w:tcW w:w="1365" w:type="dxa"/>
          </w:tcPr>
          <w:p w:rsidR="000A382C" w:rsidRPr="00D9356B" w:rsidRDefault="000A382C" w:rsidP="00D9356B">
            <w:pPr>
              <w:jc w:val="right"/>
              <w:rPr>
                <w:b/>
                <w:sz w:val="24"/>
              </w:rPr>
            </w:pPr>
          </w:p>
        </w:tc>
        <w:tc>
          <w:tcPr>
            <w:tcW w:w="1470" w:type="dxa"/>
          </w:tcPr>
          <w:p w:rsidR="000A382C" w:rsidRPr="00D9356B" w:rsidRDefault="000A382C" w:rsidP="00D9356B">
            <w:pPr>
              <w:jc w:val="right"/>
              <w:rPr>
                <w:b/>
                <w:sz w:val="24"/>
              </w:rPr>
            </w:pPr>
          </w:p>
        </w:tc>
      </w:tr>
      <w:tr w:rsidR="000A382C" w:rsidRPr="00D9356B" w:rsidTr="00715C88">
        <w:tc>
          <w:tcPr>
            <w:tcW w:w="2063" w:type="dxa"/>
          </w:tcPr>
          <w:p w:rsidR="000A382C" w:rsidRDefault="000A382C" w:rsidP="00092458">
            <w:pPr>
              <w:pStyle w:val="Default"/>
              <w:rPr>
                <w:sz w:val="23"/>
                <w:szCs w:val="23"/>
              </w:rPr>
            </w:pPr>
            <w:r>
              <w:rPr>
                <w:sz w:val="23"/>
                <w:szCs w:val="23"/>
              </w:rPr>
              <w:t xml:space="preserve">Programme of commissioned work on NN Growth Community </w:t>
            </w:r>
          </w:p>
        </w:tc>
        <w:tc>
          <w:tcPr>
            <w:tcW w:w="3857" w:type="dxa"/>
          </w:tcPr>
          <w:p w:rsidR="000A382C" w:rsidRDefault="000A382C" w:rsidP="00092458">
            <w:pPr>
              <w:pStyle w:val="Default"/>
              <w:rPr>
                <w:sz w:val="23"/>
                <w:szCs w:val="23"/>
              </w:rPr>
            </w:pPr>
            <w:r>
              <w:rPr>
                <w:sz w:val="23"/>
                <w:szCs w:val="23"/>
              </w:rPr>
              <w:t xml:space="preserve">Ensure appropriate best-practice principles are enshrined in operational delivery </w:t>
            </w:r>
          </w:p>
        </w:tc>
        <w:tc>
          <w:tcPr>
            <w:tcW w:w="1365" w:type="dxa"/>
          </w:tcPr>
          <w:p w:rsidR="000A382C" w:rsidRPr="00D9356B" w:rsidRDefault="000A382C" w:rsidP="00D9356B">
            <w:pPr>
              <w:jc w:val="right"/>
              <w:rPr>
                <w:sz w:val="24"/>
              </w:rPr>
            </w:pPr>
            <w:r w:rsidRPr="00D9356B">
              <w:rPr>
                <w:sz w:val="24"/>
              </w:rPr>
              <w:t>136</w:t>
            </w:r>
          </w:p>
        </w:tc>
        <w:tc>
          <w:tcPr>
            <w:tcW w:w="1470" w:type="dxa"/>
          </w:tcPr>
          <w:p w:rsidR="000A382C" w:rsidRPr="00D9356B" w:rsidRDefault="0026764D" w:rsidP="00D9356B">
            <w:pPr>
              <w:jc w:val="right"/>
              <w:rPr>
                <w:sz w:val="24"/>
              </w:rPr>
            </w:pPr>
            <w:r>
              <w:rPr>
                <w:sz w:val="24"/>
              </w:rPr>
              <w:t>15</w:t>
            </w:r>
          </w:p>
        </w:tc>
      </w:tr>
      <w:tr w:rsidR="000A382C" w:rsidRPr="00D9356B" w:rsidTr="00715C88">
        <w:tc>
          <w:tcPr>
            <w:tcW w:w="2063" w:type="dxa"/>
          </w:tcPr>
          <w:p w:rsidR="000A382C" w:rsidRDefault="000A382C" w:rsidP="00092458">
            <w:pPr>
              <w:pStyle w:val="Default"/>
              <w:rPr>
                <w:sz w:val="23"/>
                <w:szCs w:val="23"/>
              </w:rPr>
            </w:pPr>
            <w:r>
              <w:rPr>
                <w:sz w:val="23"/>
                <w:szCs w:val="23"/>
              </w:rPr>
              <w:t xml:space="preserve">Transport Assessments, </w:t>
            </w:r>
            <w:proofErr w:type="spellStart"/>
            <w:r>
              <w:rPr>
                <w:sz w:val="23"/>
                <w:szCs w:val="23"/>
              </w:rPr>
              <w:t>etc</w:t>
            </w:r>
            <w:proofErr w:type="spellEnd"/>
            <w:r>
              <w:rPr>
                <w:sz w:val="23"/>
                <w:szCs w:val="23"/>
              </w:rPr>
              <w:t xml:space="preserve"> </w:t>
            </w:r>
          </w:p>
        </w:tc>
        <w:tc>
          <w:tcPr>
            <w:tcW w:w="3857" w:type="dxa"/>
          </w:tcPr>
          <w:p w:rsidR="000A382C" w:rsidRDefault="000A382C" w:rsidP="00092458">
            <w:pPr>
              <w:pStyle w:val="Default"/>
              <w:rPr>
                <w:sz w:val="23"/>
                <w:szCs w:val="23"/>
              </w:rPr>
            </w:pPr>
            <w:r>
              <w:rPr>
                <w:sz w:val="23"/>
                <w:szCs w:val="23"/>
              </w:rPr>
              <w:t xml:space="preserve">Required to support delivery of SUEs </w:t>
            </w:r>
          </w:p>
        </w:tc>
        <w:tc>
          <w:tcPr>
            <w:tcW w:w="1365" w:type="dxa"/>
          </w:tcPr>
          <w:p w:rsidR="000A382C" w:rsidRPr="00D9356B" w:rsidRDefault="000A382C" w:rsidP="00D9356B">
            <w:pPr>
              <w:jc w:val="right"/>
              <w:rPr>
                <w:sz w:val="24"/>
              </w:rPr>
            </w:pPr>
            <w:r>
              <w:rPr>
                <w:sz w:val="24"/>
              </w:rPr>
              <w:t>40</w:t>
            </w:r>
          </w:p>
        </w:tc>
        <w:tc>
          <w:tcPr>
            <w:tcW w:w="1470" w:type="dxa"/>
          </w:tcPr>
          <w:p w:rsidR="000A382C" w:rsidRDefault="0026764D" w:rsidP="00D9356B">
            <w:pPr>
              <w:jc w:val="right"/>
              <w:rPr>
                <w:sz w:val="24"/>
              </w:rPr>
            </w:pPr>
            <w:r>
              <w:rPr>
                <w:sz w:val="24"/>
              </w:rPr>
              <w:t>0</w:t>
            </w:r>
          </w:p>
        </w:tc>
      </w:tr>
      <w:tr w:rsidR="000A382C" w:rsidRPr="00D9356B" w:rsidTr="00715C88">
        <w:tc>
          <w:tcPr>
            <w:tcW w:w="2063" w:type="dxa"/>
          </w:tcPr>
          <w:p w:rsidR="000A382C" w:rsidRPr="00D9356B" w:rsidRDefault="000A382C" w:rsidP="00092458">
            <w:pPr>
              <w:pStyle w:val="Default"/>
              <w:rPr>
                <w:b/>
                <w:sz w:val="23"/>
                <w:szCs w:val="23"/>
              </w:rPr>
            </w:pPr>
            <w:r w:rsidRPr="00D9356B">
              <w:rPr>
                <w:b/>
                <w:sz w:val="23"/>
                <w:szCs w:val="23"/>
              </w:rPr>
              <w:t>Total</w:t>
            </w:r>
          </w:p>
        </w:tc>
        <w:tc>
          <w:tcPr>
            <w:tcW w:w="3857" w:type="dxa"/>
          </w:tcPr>
          <w:p w:rsidR="000A382C" w:rsidRPr="00D9356B" w:rsidRDefault="000A382C" w:rsidP="00092458">
            <w:pPr>
              <w:pStyle w:val="Default"/>
              <w:rPr>
                <w:b/>
                <w:sz w:val="23"/>
                <w:szCs w:val="23"/>
              </w:rPr>
            </w:pPr>
          </w:p>
        </w:tc>
        <w:tc>
          <w:tcPr>
            <w:tcW w:w="1365" w:type="dxa"/>
          </w:tcPr>
          <w:p w:rsidR="000A382C" w:rsidRPr="00D9356B" w:rsidRDefault="000A382C" w:rsidP="00D9356B">
            <w:pPr>
              <w:jc w:val="right"/>
              <w:rPr>
                <w:b/>
                <w:sz w:val="24"/>
              </w:rPr>
            </w:pPr>
            <w:r w:rsidRPr="00D9356B">
              <w:rPr>
                <w:b/>
                <w:sz w:val="24"/>
              </w:rPr>
              <w:t>750</w:t>
            </w:r>
          </w:p>
        </w:tc>
        <w:tc>
          <w:tcPr>
            <w:tcW w:w="1470" w:type="dxa"/>
          </w:tcPr>
          <w:p w:rsidR="000A382C" w:rsidRPr="00D9356B" w:rsidRDefault="00FF0462" w:rsidP="00D9356B">
            <w:pPr>
              <w:jc w:val="right"/>
              <w:rPr>
                <w:b/>
                <w:sz w:val="24"/>
              </w:rPr>
            </w:pPr>
            <w:r>
              <w:rPr>
                <w:b/>
                <w:sz w:val="24"/>
              </w:rPr>
              <w:t>127</w:t>
            </w:r>
          </w:p>
        </w:tc>
      </w:tr>
    </w:tbl>
    <w:p w:rsidR="00D9356B" w:rsidRDefault="00D9356B" w:rsidP="002E290E">
      <w:pPr>
        <w:ind w:left="567" w:hanging="567"/>
        <w:jc w:val="both"/>
        <w:rPr>
          <w:sz w:val="24"/>
        </w:rPr>
      </w:pPr>
    </w:p>
    <w:p w:rsidR="00D76291" w:rsidRPr="00D76291" w:rsidRDefault="003D0C4B" w:rsidP="006153F7">
      <w:pPr>
        <w:pStyle w:val="Default"/>
        <w:jc w:val="both"/>
      </w:pPr>
      <w:r>
        <w:t>2.4</w:t>
      </w:r>
      <w:r>
        <w:tab/>
      </w:r>
      <w:r w:rsidR="00D76291" w:rsidRPr="00D76291">
        <w:t xml:space="preserve">The award was to be paid in two parts </w:t>
      </w:r>
    </w:p>
    <w:p w:rsidR="00D76291" w:rsidRPr="00D76291" w:rsidRDefault="00D76291" w:rsidP="006153F7">
      <w:pPr>
        <w:pStyle w:val="Default"/>
        <w:jc w:val="both"/>
      </w:pPr>
    </w:p>
    <w:p w:rsidR="00D76291" w:rsidRPr="00D76291" w:rsidRDefault="00D76291" w:rsidP="006153F7">
      <w:pPr>
        <w:pStyle w:val="Default"/>
        <w:jc w:val="both"/>
      </w:pPr>
      <w:r>
        <w:tab/>
      </w:r>
      <w:r w:rsidRPr="00D76291">
        <w:t xml:space="preserve">- £300,000 – received by Kettering BC as accountable body in mid-June and </w:t>
      </w:r>
    </w:p>
    <w:p w:rsidR="00D76291" w:rsidRPr="00D76291" w:rsidRDefault="00D76291" w:rsidP="006153F7">
      <w:pPr>
        <w:pStyle w:val="Default"/>
        <w:jc w:val="both"/>
      </w:pPr>
    </w:p>
    <w:p w:rsidR="0026764D" w:rsidRDefault="00D76291" w:rsidP="006153F7">
      <w:pPr>
        <w:pStyle w:val="Default"/>
        <w:jc w:val="both"/>
      </w:pPr>
      <w:r>
        <w:tab/>
      </w:r>
      <w:r w:rsidRPr="00D76291">
        <w:t>-</w:t>
      </w:r>
      <w:r w:rsidR="00FF0462">
        <w:t xml:space="preserve"> £450,000 which is due</w:t>
      </w:r>
      <w:r w:rsidRPr="00D76291">
        <w:t xml:space="preserve"> on satisfa</w:t>
      </w:r>
      <w:r w:rsidR="00FF0462">
        <w:t>ctory completion of a series of milestones.</w:t>
      </w:r>
    </w:p>
    <w:p w:rsidR="00D76291" w:rsidRDefault="0026764D" w:rsidP="006153F7">
      <w:pPr>
        <w:pStyle w:val="Default"/>
        <w:jc w:val="both"/>
      </w:pPr>
      <w:r>
        <w:tab/>
        <w:t xml:space="preserve">These milestones have been met and the </w:t>
      </w:r>
      <w:r w:rsidR="00FF0462">
        <w:t xml:space="preserve">drawdown for the second payment   </w:t>
      </w:r>
      <w:r w:rsidR="00FF0462">
        <w:tab/>
        <w:t>has been requested.</w:t>
      </w:r>
    </w:p>
    <w:p w:rsidR="00FF0462" w:rsidRDefault="00FF0462" w:rsidP="006153F7">
      <w:pPr>
        <w:pStyle w:val="Default"/>
        <w:jc w:val="both"/>
      </w:pPr>
    </w:p>
    <w:p w:rsidR="00D76291" w:rsidRDefault="00D76291" w:rsidP="006153F7">
      <w:pPr>
        <w:pStyle w:val="Default"/>
        <w:jc w:val="both"/>
      </w:pPr>
      <w:r>
        <w:t>2.5</w:t>
      </w:r>
      <w:r>
        <w:tab/>
      </w:r>
      <w:r w:rsidR="00EB6C41">
        <w:t>M</w:t>
      </w:r>
      <w:r w:rsidRPr="00EB6C41">
        <w:t>ilestones</w:t>
      </w:r>
    </w:p>
    <w:p w:rsidR="00D76291" w:rsidRDefault="00D76291" w:rsidP="006153F7">
      <w:pPr>
        <w:pStyle w:val="Default"/>
        <w:jc w:val="both"/>
      </w:pPr>
    </w:p>
    <w:p w:rsidR="00D76291" w:rsidRPr="0026764D" w:rsidRDefault="00D76291" w:rsidP="006153F7">
      <w:pPr>
        <w:pStyle w:val="Default"/>
        <w:numPr>
          <w:ilvl w:val="0"/>
          <w:numId w:val="23"/>
        </w:numPr>
        <w:jc w:val="both"/>
      </w:pPr>
      <w:r>
        <w:rPr>
          <w:sz w:val="23"/>
          <w:szCs w:val="23"/>
        </w:rPr>
        <w:t>The key posts (</w:t>
      </w:r>
      <w:r w:rsidR="0026764D">
        <w:rPr>
          <w:sz w:val="23"/>
          <w:szCs w:val="23"/>
        </w:rPr>
        <w:t>Delivery Unit manager, Project Officer, Planning and Highways staff) to</w:t>
      </w:r>
      <w:r>
        <w:rPr>
          <w:sz w:val="23"/>
          <w:szCs w:val="23"/>
        </w:rPr>
        <w:t xml:space="preserve"> be appointed to and staff active in role, either using interim appointees or full time appointments.</w:t>
      </w:r>
    </w:p>
    <w:p w:rsidR="0026764D" w:rsidRPr="00D76291" w:rsidRDefault="0026764D" w:rsidP="006153F7">
      <w:pPr>
        <w:pStyle w:val="Default"/>
        <w:ind w:left="720"/>
        <w:jc w:val="both"/>
      </w:pPr>
    </w:p>
    <w:p w:rsidR="00D76291" w:rsidRDefault="00D76291" w:rsidP="006153F7">
      <w:pPr>
        <w:pStyle w:val="Default"/>
        <w:numPr>
          <w:ilvl w:val="0"/>
          <w:numId w:val="23"/>
        </w:numPr>
        <w:jc w:val="both"/>
      </w:pPr>
      <w:r>
        <w:t>C</w:t>
      </w:r>
      <w:r w:rsidRPr="00D76291">
        <w:t>onsultants will be appointed to undertake the main cross-scheme assessments for which funding is sought – assessment of resilience of electric and gas supplies and assessment of on-site health service provision.</w:t>
      </w:r>
    </w:p>
    <w:p w:rsidR="00D76291" w:rsidRDefault="00D76291" w:rsidP="006153F7">
      <w:pPr>
        <w:pStyle w:val="Default"/>
        <w:jc w:val="both"/>
      </w:pPr>
    </w:p>
    <w:p w:rsidR="00D76291" w:rsidRDefault="00D76291" w:rsidP="006153F7">
      <w:pPr>
        <w:pStyle w:val="Default"/>
        <w:ind w:left="360"/>
        <w:jc w:val="both"/>
        <w:rPr>
          <w:b/>
        </w:rPr>
      </w:pPr>
      <w:r w:rsidRPr="00D76291">
        <w:rPr>
          <w:b/>
        </w:rPr>
        <w:t>Progress to date</w:t>
      </w:r>
    </w:p>
    <w:p w:rsidR="00D76291" w:rsidRDefault="00D76291" w:rsidP="006153F7">
      <w:pPr>
        <w:pStyle w:val="Default"/>
        <w:jc w:val="both"/>
        <w:rPr>
          <w:b/>
        </w:rPr>
      </w:pPr>
    </w:p>
    <w:p w:rsidR="00D76291" w:rsidRDefault="00D76291" w:rsidP="006153F7">
      <w:pPr>
        <w:pStyle w:val="Default"/>
        <w:jc w:val="both"/>
      </w:pPr>
      <w:r w:rsidRPr="00D76291">
        <w:t xml:space="preserve">2.6 </w:t>
      </w:r>
      <w:r>
        <w:tab/>
      </w:r>
      <w:r w:rsidRPr="00D76291">
        <w:t xml:space="preserve">The following table sets out the progress made against these key milestones as </w:t>
      </w:r>
      <w:r>
        <w:tab/>
      </w:r>
      <w:r w:rsidRPr="00D76291">
        <w:t xml:space="preserve">well as against other aspects of the bid. A small steering group was </w:t>
      </w:r>
      <w:r>
        <w:tab/>
      </w:r>
      <w:r w:rsidRPr="00D76291">
        <w:t xml:space="preserve">established, comprising officers from the five councils and from the Joint </w:t>
      </w:r>
      <w:r>
        <w:tab/>
      </w:r>
      <w:r w:rsidRPr="00D76291">
        <w:t xml:space="preserve">Planning unit, to progress the establishment of a delivery unit, and this group </w:t>
      </w:r>
      <w:r>
        <w:tab/>
      </w:r>
      <w:r w:rsidRPr="00D76291">
        <w:t xml:space="preserve">will continue in being until the Joint Delivery Unit is fully operational. Thereafter, </w:t>
      </w:r>
      <w:r>
        <w:lastRenderedPageBreak/>
        <w:tab/>
      </w:r>
      <w:r w:rsidRPr="00D76291">
        <w:t xml:space="preserve">between them, this committee, the North Northants Chief Executives group and </w:t>
      </w:r>
      <w:r>
        <w:tab/>
      </w:r>
      <w:r w:rsidRPr="00D76291">
        <w:t xml:space="preserve">the Chief Planning Officers Group will continue to support and oversee the work </w:t>
      </w:r>
      <w:r>
        <w:tab/>
      </w:r>
      <w:r w:rsidRPr="00D76291">
        <w:t>of the JDU.</w:t>
      </w:r>
    </w:p>
    <w:p w:rsidR="0026764D" w:rsidRDefault="0026764D" w:rsidP="006153F7">
      <w:pPr>
        <w:pStyle w:val="Default"/>
        <w:jc w:val="both"/>
      </w:pPr>
    </w:p>
    <w:p w:rsidR="0026764D" w:rsidRDefault="0026764D" w:rsidP="006153F7">
      <w:pPr>
        <w:pStyle w:val="Default"/>
        <w:ind w:left="709" w:hanging="709"/>
        <w:jc w:val="both"/>
      </w:pPr>
      <w:r>
        <w:t>2.7</w:t>
      </w:r>
      <w:r>
        <w:tab/>
        <w:t>The North Northamptonshi</w:t>
      </w:r>
      <w:r w:rsidR="00BA2400">
        <w:t>re Strategic Stakeholders Group</w:t>
      </w:r>
      <w:r>
        <w:t xml:space="preserve"> met on 29</w:t>
      </w:r>
      <w:r w:rsidRPr="0026764D">
        <w:rPr>
          <w:vertAlign w:val="superscript"/>
        </w:rPr>
        <w:t>th</w:t>
      </w:r>
      <w:r>
        <w:t xml:space="preserve"> September 2015 and have started to have helpful inputs into a number of matters</w:t>
      </w:r>
      <w:r w:rsidR="00BA2400">
        <w:t xml:space="preserve"> such as the Delivery Plan, Health, Community Trust and Self-Build. Key partners in attendance are </w:t>
      </w:r>
      <w:r w:rsidR="00BA2400" w:rsidRPr="00EB6C41">
        <w:t>HCA, DCLG, BIS, DET, NEP, SEMLEP</w:t>
      </w:r>
      <w:r w:rsidR="00BA2400">
        <w:t xml:space="preserve"> and some developers</w:t>
      </w:r>
    </w:p>
    <w:p w:rsidR="00D76291" w:rsidRDefault="00D76291" w:rsidP="006153F7">
      <w:pPr>
        <w:pStyle w:val="Default"/>
        <w:jc w:val="both"/>
      </w:pPr>
    </w:p>
    <w:p w:rsidR="00D76291" w:rsidRDefault="0026764D" w:rsidP="006153F7">
      <w:pPr>
        <w:pStyle w:val="Default"/>
        <w:jc w:val="both"/>
      </w:pPr>
      <w:r>
        <w:t>2.8</w:t>
      </w:r>
      <w:r w:rsidR="00D76291">
        <w:tab/>
      </w:r>
      <w:r w:rsidR="00D76291" w:rsidRPr="00D76291">
        <w:t xml:space="preserve">The items marked in bold are the key triggers required by </w:t>
      </w:r>
      <w:r w:rsidR="00BA2400">
        <w:t>D</w:t>
      </w:r>
      <w:r w:rsidR="00D76291" w:rsidRPr="00D76291">
        <w:t xml:space="preserve">CLG to release the </w:t>
      </w:r>
      <w:r w:rsidR="00D76291">
        <w:tab/>
      </w:r>
      <w:r w:rsidR="00D76291" w:rsidRPr="00D76291">
        <w:t>second tranche of funding</w:t>
      </w:r>
    </w:p>
    <w:p w:rsidR="00B1230C" w:rsidRDefault="00B1230C">
      <w:pPr>
        <w:rPr>
          <w:rFonts w:cs="Arial"/>
          <w:color w:val="000000"/>
          <w:sz w:val="24"/>
          <w:szCs w:val="24"/>
          <w:lang w:eastAsia="en-GB"/>
        </w:rPr>
      </w:pPr>
    </w:p>
    <w:p w:rsidR="00D76291" w:rsidRPr="00D76291" w:rsidRDefault="00D76291" w:rsidP="00D76291">
      <w:pPr>
        <w:pStyle w:val="Default"/>
      </w:pPr>
    </w:p>
    <w:tbl>
      <w:tblPr>
        <w:tblStyle w:val="TableGrid"/>
        <w:tblW w:w="0" w:type="auto"/>
        <w:tblLook w:val="04A0" w:firstRow="1" w:lastRow="0" w:firstColumn="1" w:lastColumn="0" w:noHBand="0" w:noVBand="1"/>
      </w:tblPr>
      <w:tblGrid>
        <w:gridCol w:w="2802"/>
        <w:gridCol w:w="3483"/>
        <w:gridCol w:w="3143"/>
      </w:tblGrid>
      <w:tr w:rsidR="00D76291" w:rsidRPr="00FC5833" w:rsidTr="00D76291">
        <w:tc>
          <w:tcPr>
            <w:tcW w:w="2802" w:type="dxa"/>
          </w:tcPr>
          <w:p w:rsidR="00D76291" w:rsidRPr="00FC5833" w:rsidRDefault="00D76291" w:rsidP="00D9356B">
            <w:pPr>
              <w:pStyle w:val="Default"/>
              <w:rPr>
                <w:b/>
              </w:rPr>
            </w:pPr>
            <w:r w:rsidRPr="00FC5833">
              <w:rPr>
                <w:b/>
              </w:rPr>
              <w:t>Item</w:t>
            </w:r>
          </w:p>
        </w:tc>
        <w:tc>
          <w:tcPr>
            <w:tcW w:w="3483" w:type="dxa"/>
          </w:tcPr>
          <w:p w:rsidR="00D76291" w:rsidRPr="00FC5833" w:rsidRDefault="00D76291" w:rsidP="00D9356B">
            <w:pPr>
              <w:pStyle w:val="Default"/>
              <w:rPr>
                <w:b/>
              </w:rPr>
            </w:pPr>
            <w:r w:rsidRPr="00FC5833">
              <w:rPr>
                <w:b/>
              </w:rPr>
              <w:t>Progress</w:t>
            </w:r>
          </w:p>
        </w:tc>
        <w:tc>
          <w:tcPr>
            <w:tcW w:w="3143" w:type="dxa"/>
          </w:tcPr>
          <w:p w:rsidR="00D76291" w:rsidRPr="00FC5833" w:rsidRDefault="00D76291" w:rsidP="00D9356B">
            <w:pPr>
              <w:pStyle w:val="Default"/>
              <w:rPr>
                <w:b/>
              </w:rPr>
            </w:pPr>
            <w:r w:rsidRPr="00FC5833">
              <w:rPr>
                <w:b/>
              </w:rPr>
              <w:t>Costs</w:t>
            </w:r>
          </w:p>
        </w:tc>
      </w:tr>
      <w:tr w:rsidR="00D76291" w:rsidTr="00D76291">
        <w:tc>
          <w:tcPr>
            <w:tcW w:w="2802" w:type="dxa"/>
          </w:tcPr>
          <w:p w:rsidR="00B1230C" w:rsidRDefault="00D76291" w:rsidP="00D76291">
            <w:pPr>
              <w:pStyle w:val="Default"/>
            </w:pPr>
            <w:r>
              <w:t>Appointment of staff</w:t>
            </w:r>
          </w:p>
          <w:p w:rsidR="00D76291" w:rsidRDefault="00D76291" w:rsidP="00D76291">
            <w:pPr>
              <w:pStyle w:val="Default"/>
            </w:pPr>
            <w:r>
              <w:t xml:space="preserve"> </w:t>
            </w:r>
          </w:p>
          <w:p w:rsidR="00D76291" w:rsidRDefault="00D76291" w:rsidP="00D76291">
            <w:pPr>
              <w:pStyle w:val="Default"/>
              <w:rPr>
                <w:b/>
              </w:rPr>
            </w:pPr>
            <w:r w:rsidRPr="00D76291">
              <w:rPr>
                <w:b/>
              </w:rPr>
              <w:t xml:space="preserve">Growth manager </w:t>
            </w:r>
          </w:p>
          <w:p w:rsidR="00B1230C" w:rsidRDefault="00B1230C" w:rsidP="00D76291">
            <w:pPr>
              <w:pStyle w:val="Default"/>
              <w:rPr>
                <w:b/>
              </w:rPr>
            </w:pPr>
          </w:p>
          <w:p w:rsidR="00B1230C" w:rsidRDefault="00B1230C" w:rsidP="00D76291">
            <w:pPr>
              <w:pStyle w:val="Default"/>
              <w:rPr>
                <w:b/>
              </w:rPr>
            </w:pPr>
          </w:p>
          <w:p w:rsidR="00B1230C" w:rsidRDefault="00B1230C" w:rsidP="00D76291">
            <w:pPr>
              <w:pStyle w:val="Default"/>
              <w:rPr>
                <w:b/>
              </w:rPr>
            </w:pPr>
          </w:p>
          <w:p w:rsidR="00B1230C" w:rsidRDefault="00B1230C" w:rsidP="00D76291">
            <w:pPr>
              <w:pStyle w:val="Default"/>
              <w:rPr>
                <w:b/>
              </w:rPr>
            </w:pPr>
          </w:p>
          <w:p w:rsidR="00B1230C" w:rsidRPr="00D76291" w:rsidRDefault="00B1230C" w:rsidP="00D76291">
            <w:pPr>
              <w:pStyle w:val="Default"/>
              <w:rPr>
                <w:b/>
              </w:rPr>
            </w:pPr>
          </w:p>
          <w:p w:rsidR="00D76291" w:rsidRDefault="00D32618" w:rsidP="00D76291">
            <w:pPr>
              <w:pStyle w:val="Default"/>
              <w:rPr>
                <w:b/>
              </w:rPr>
            </w:pPr>
            <w:r>
              <w:rPr>
                <w:b/>
              </w:rPr>
              <w:t>Project officer</w:t>
            </w:r>
            <w:r w:rsidR="00D76291" w:rsidRPr="00D76291">
              <w:rPr>
                <w:b/>
              </w:rPr>
              <w:t xml:space="preserve"> </w:t>
            </w:r>
          </w:p>
          <w:p w:rsidR="00B1230C" w:rsidRDefault="00B1230C" w:rsidP="00D76291">
            <w:pPr>
              <w:pStyle w:val="Default"/>
              <w:rPr>
                <w:b/>
              </w:rPr>
            </w:pPr>
          </w:p>
          <w:p w:rsidR="00B1230C" w:rsidRDefault="00B1230C" w:rsidP="00D76291">
            <w:pPr>
              <w:pStyle w:val="Default"/>
              <w:rPr>
                <w:b/>
              </w:rPr>
            </w:pPr>
          </w:p>
          <w:p w:rsidR="00B1230C" w:rsidRDefault="00B1230C" w:rsidP="00D76291">
            <w:pPr>
              <w:pStyle w:val="Default"/>
              <w:rPr>
                <w:b/>
              </w:rPr>
            </w:pPr>
          </w:p>
          <w:p w:rsidR="00D32618" w:rsidRPr="00D76291" w:rsidRDefault="00D32618" w:rsidP="00D76291">
            <w:pPr>
              <w:pStyle w:val="Default"/>
              <w:rPr>
                <w:b/>
              </w:rPr>
            </w:pPr>
          </w:p>
          <w:p w:rsidR="00D76291" w:rsidRDefault="00D76291" w:rsidP="00D76291">
            <w:pPr>
              <w:pStyle w:val="Default"/>
            </w:pPr>
            <w:r w:rsidRPr="00D76291">
              <w:rPr>
                <w:b/>
              </w:rPr>
              <w:t>Highways</w:t>
            </w:r>
          </w:p>
        </w:tc>
        <w:tc>
          <w:tcPr>
            <w:tcW w:w="3483" w:type="dxa"/>
          </w:tcPr>
          <w:p w:rsidR="00B1230C" w:rsidRDefault="00B1230C" w:rsidP="00D76291">
            <w:pPr>
              <w:pStyle w:val="Default"/>
            </w:pPr>
          </w:p>
          <w:p w:rsidR="00B1230C" w:rsidRDefault="00B1230C" w:rsidP="00D76291">
            <w:pPr>
              <w:pStyle w:val="Default"/>
            </w:pPr>
          </w:p>
          <w:p w:rsidR="00D76291" w:rsidRDefault="00D76291" w:rsidP="00D76291">
            <w:pPr>
              <w:pStyle w:val="Default"/>
            </w:pPr>
            <w:r w:rsidRPr="00D76291">
              <w:t xml:space="preserve">Adrian Arnold has been appointed, after a selection process, on secondment from KBC as Delivery Unit Manager until the end of the year. </w:t>
            </w:r>
          </w:p>
          <w:p w:rsidR="00B1230C" w:rsidRPr="00D76291" w:rsidRDefault="00B1230C" w:rsidP="00D76291">
            <w:pPr>
              <w:pStyle w:val="Default"/>
            </w:pPr>
          </w:p>
          <w:p w:rsidR="00B1230C" w:rsidRDefault="00D76291" w:rsidP="00D76291">
            <w:pPr>
              <w:pStyle w:val="Default"/>
            </w:pPr>
            <w:r w:rsidRPr="00D76291">
              <w:t xml:space="preserve">A Project </w:t>
            </w:r>
            <w:r w:rsidR="00D32618">
              <w:t>Officer</w:t>
            </w:r>
            <w:r w:rsidRPr="00D76291">
              <w:t xml:space="preserve"> Post</w:t>
            </w:r>
            <w:r w:rsidR="00D32618">
              <w:t>. Interviews for a proje</w:t>
            </w:r>
            <w:r w:rsidR="00DD5942">
              <w:t>ct officer have been undertaken.</w:t>
            </w:r>
          </w:p>
          <w:p w:rsidR="00DD5942" w:rsidRDefault="00DD5942" w:rsidP="00D76291">
            <w:pPr>
              <w:pStyle w:val="Default"/>
            </w:pPr>
          </w:p>
          <w:p w:rsidR="00DD5942" w:rsidRPr="00D76291" w:rsidRDefault="00DD5942" w:rsidP="00D76291">
            <w:pPr>
              <w:pStyle w:val="Default"/>
            </w:pPr>
          </w:p>
          <w:p w:rsidR="00D76291" w:rsidRDefault="00D76291" w:rsidP="00EB6C41">
            <w:pPr>
              <w:pStyle w:val="Default"/>
            </w:pPr>
            <w:r w:rsidRPr="00D76291">
              <w:t>Kier/Northamptonshire Highways have appointed three additional highway engineering staff (2 FTEs) to provide additional capacity to the SUEs in North Northants.</w:t>
            </w:r>
            <w:r w:rsidR="00D32618">
              <w:t xml:space="preserve"> </w:t>
            </w:r>
          </w:p>
        </w:tc>
        <w:tc>
          <w:tcPr>
            <w:tcW w:w="3143" w:type="dxa"/>
          </w:tcPr>
          <w:p w:rsidR="00B1230C" w:rsidRDefault="00B1230C" w:rsidP="00D76291">
            <w:pPr>
              <w:pStyle w:val="Default"/>
            </w:pPr>
          </w:p>
          <w:p w:rsidR="00B1230C" w:rsidRDefault="00B1230C" w:rsidP="00D76291">
            <w:pPr>
              <w:pStyle w:val="Default"/>
            </w:pPr>
          </w:p>
          <w:p w:rsidR="00D76291" w:rsidRDefault="00D76291" w:rsidP="00D76291">
            <w:pPr>
              <w:pStyle w:val="Default"/>
            </w:pPr>
            <w:r w:rsidRPr="00D76291">
              <w:t xml:space="preserve">95% of cost covered by fund - of £67,000. Remainder covered by KBC. </w:t>
            </w:r>
          </w:p>
          <w:p w:rsidR="00B1230C" w:rsidRDefault="00B1230C" w:rsidP="00D76291">
            <w:pPr>
              <w:pStyle w:val="Default"/>
            </w:pPr>
          </w:p>
          <w:p w:rsidR="00B1230C" w:rsidRPr="00D76291" w:rsidRDefault="00B1230C" w:rsidP="00D76291">
            <w:pPr>
              <w:pStyle w:val="Default"/>
            </w:pPr>
          </w:p>
          <w:p w:rsidR="00D76291" w:rsidRDefault="00D76291" w:rsidP="00D76291">
            <w:pPr>
              <w:pStyle w:val="Default"/>
            </w:pPr>
            <w:r w:rsidRPr="00D76291">
              <w:t>Full cost covered by fund. Within assumed ceiling of</w:t>
            </w:r>
            <w:r>
              <w:rPr>
                <w:sz w:val="23"/>
                <w:szCs w:val="23"/>
              </w:rPr>
              <w:t xml:space="preserve"> </w:t>
            </w:r>
            <w:r w:rsidR="00D32618">
              <w:rPr>
                <w:sz w:val="23"/>
                <w:szCs w:val="23"/>
              </w:rPr>
              <w:t xml:space="preserve">up to </w:t>
            </w:r>
            <w:r w:rsidR="00D32618">
              <w:t>£6</w:t>
            </w:r>
            <w:r w:rsidRPr="00D76291">
              <w:t xml:space="preserve">0,000 </w:t>
            </w:r>
          </w:p>
          <w:p w:rsidR="00B1230C" w:rsidRDefault="00B1230C" w:rsidP="00D76291">
            <w:pPr>
              <w:pStyle w:val="Default"/>
            </w:pPr>
          </w:p>
          <w:p w:rsidR="00B1230C" w:rsidRPr="00D76291" w:rsidRDefault="00B1230C" w:rsidP="00D76291">
            <w:pPr>
              <w:pStyle w:val="Default"/>
            </w:pPr>
          </w:p>
          <w:p w:rsidR="00D76291" w:rsidRDefault="00D76291" w:rsidP="00D76291">
            <w:pPr>
              <w:pStyle w:val="Default"/>
            </w:pPr>
            <w:r w:rsidRPr="00D76291">
              <w:t>Full cost covered by fund - £108,000</w:t>
            </w:r>
            <w:r w:rsidR="00EB6C41">
              <w:t xml:space="preserve">. </w:t>
            </w:r>
            <w:r w:rsidR="00EB6C41" w:rsidRPr="00EB6C41">
              <w:t>No information has been made available to the NNJDU to demonstrate progress being made to appoint staff/use resources.</w:t>
            </w:r>
          </w:p>
        </w:tc>
      </w:tr>
      <w:tr w:rsidR="00D76291" w:rsidTr="00D76291">
        <w:tc>
          <w:tcPr>
            <w:tcW w:w="2802" w:type="dxa"/>
          </w:tcPr>
          <w:p w:rsidR="00D76291" w:rsidRPr="00D76291" w:rsidRDefault="00D76291" w:rsidP="00D76291">
            <w:pPr>
              <w:pStyle w:val="Default"/>
              <w:rPr>
                <w:b/>
              </w:rPr>
            </w:pPr>
            <w:r w:rsidRPr="00D76291">
              <w:rPr>
                <w:b/>
              </w:rPr>
              <w:t>Planning</w:t>
            </w:r>
          </w:p>
        </w:tc>
        <w:tc>
          <w:tcPr>
            <w:tcW w:w="3483" w:type="dxa"/>
          </w:tcPr>
          <w:p w:rsidR="005564F2" w:rsidRPr="005564F2" w:rsidRDefault="00D76291" w:rsidP="00D76291">
            <w:pPr>
              <w:pStyle w:val="Default"/>
            </w:pPr>
            <w:r w:rsidRPr="00D76291">
              <w:t>The planning authorities have identified planning, administrative and economic development staff either on a full time or part time secondment to the delivery unit, amounting to 5.25 FTEs rising to 5.75 FTEs.</w:t>
            </w:r>
          </w:p>
        </w:tc>
        <w:tc>
          <w:tcPr>
            <w:tcW w:w="3143" w:type="dxa"/>
          </w:tcPr>
          <w:p w:rsidR="00D76291" w:rsidRDefault="00D76291" w:rsidP="00D76291">
            <w:pPr>
              <w:pStyle w:val="Default"/>
              <w:rPr>
                <w:sz w:val="23"/>
                <w:szCs w:val="23"/>
              </w:rPr>
            </w:pPr>
            <w:r w:rsidRPr="00D76291">
              <w:t>This represents a value of £21,000 per calendar month, and the lending authorities will be compensated at 55% of the costs, to keep within the overall budget within the fund</w:t>
            </w:r>
            <w:r w:rsidRPr="00D76291">
              <w:rPr>
                <w:sz w:val="23"/>
                <w:szCs w:val="23"/>
              </w:rPr>
              <w:t>.</w:t>
            </w:r>
          </w:p>
        </w:tc>
      </w:tr>
      <w:tr w:rsidR="00FC5833" w:rsidTr="00D76291">
        <w:tc>
          <w:tcPr>
            <w:tcW w:w="2802" w:type="dxa"/>
          </w:tcPr>
          <w:p w:rsidR="00FC5833" w:rsidRDefault="00FC5833" w:rsidP="00FC5833">
            <w:pPr>
              <w:pStyle w:val="Default"/>
              <w:rPr>
                <w:u w:val="single"/>
              </w:rPr>
            </w:pPr>
            <w:r w:rsidRPr="00FC5833">
              <w:rPr>
                <w:u w:val="single"/>
              </w:rPr>
              <w:t xml:space="preserve">Additional capacity </w:t>
            </w:r>
          </w:p>
          <w:p w:rsidR="00FC5833" w:rsidRPr="00FC5833" w:rsidRDefault="00FC5833" w:rsidP="00FC5833">
            <w:pPr>
              <w:pStyle w:val="Default"/>
              <w:rPr>
                <w:u w:val="single"/>
              </w:rPr>
            </w:pPr>
          </w:p>
          <w:p w:rsidR="00FC5833" w:rsidRDefault="00FC5833" w:rsidP="00FC5833">
            <w:pPr>
              <w:pStyle w:val="Default"/>
            </w:pPr>
            <w:r w:rsidRPr="00FC5833">
              <w:t xml:space="preserve">Legal Capacity </w:t>
            </w: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5564F2" w:rsidRDefault="005564F2" w:rsidP="00FC5833">
            <w:pPr>
              <w:pStyle w:val="Default"/>
            </w:pPr>
          </w:p>
          <w:p w:rsidR="005564F2" w:rsidRDefault="005564F2" w:rsidP="00FC5833">
            <w:pPr>
              <w:pStyle w:val="Default"/>
            </w:pPr>
          </w:p>
          <w:p w:rsidR="00FC5833" w:rsidRPr="00FC5833" w:rsidRDefault="00FC5833" w:rsidP="00FC5833">
            <w:pPr>
              <w:pStyle w:val="Default"/>
            </w:pPr>
          </w:p>
          <w:p w:rsidR="00FC5833" w:rsidRDefault="00FC5833" w:rsidP="00FC5833">
            <w:pPr>
              <w:pStyle w:val="Default"/>
            </w:pPr>
            <w:r w:rsidRPr="00FC5833">
              <w:t xml:space="preserve">Viability Testing </w:t>
            </w: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r w:rsidRPr="00FC5833">
              <w:t xml:space="preserve">Joint Planning Unit </w:t>
            </w: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5564F2" w:rsidRDefault="005564F2" w:rsidP="00FC5833">
            <w:pPr>
              <w:pStyle w:val="Default"/>
            </w:pPr>
          </w:p>
          <w:p w:rsidR="005564F2" w:rsidRDefault="005564F2" w:rsidP="00FC5833">
            <w:pPr>
              <w:pStyle w:val="Default"/>
            </w:pPr>
          </w:p>
          <w:p w:rsidR="005564F2" w:rsidRDefault="005564F2" w:rsidP="00FC5833">
            <w:pPr>
              <w:pStyle w:val="Default"/>
            </w:pPr>
          </w:p>
          <w:p w:rsidR="005564F2" w:rsidRPr="00FC5833" w:rsidRDefault="005564F2" w:rsidP="00FC5833">
            <w:pPr>
              <w:pStyle w:val="Default"/>
            </w:pPr>
          </w:p>
          <w:p w:rsidR="00FC5833" w:rsidRDefault="00FC5833" w:rsidP="00FC5833">
            <w:pPr>
              <w:pStyle w:val="Default"/>
            </w:pPr>
            <w:r w:rsidRPr="00FC5833">
              <w:t xml:space="preserve">Community engagement </w:t>
            </w:r>
          </w:p>
          <w:p w:rsidR="00FC5833" w:rsidRDefault="00FC5833" w:rsidP="00FC5833">
            <w:pPr>
              <w:pStyle w:val="Default"/>
            </w:pPr>
          </w:p>
          <w:p w:rsidR="00FC5833" w:rsidRDefault="00FC5833" w:rsidP="00FC5833">
            <w:pPr>
              <w:pStyle w:val="Default"/>
            </w:pPr>
          </w:p>
          <w:p w:rsidR="004E4419" w:rsidRDefault="004E4419" w:rsidP="00FC5833">
            <w:pPr>
              <w:pStyle w:val="Default"/>
            </w:pPr>
          </w:p>
          <w:p w:rsidR="004E4419" w:rsidRPr="00FC5833" w:rsidRDefault="004E4419" w:rsidP="00FC5833">
            <w:pPr>
              <w:pStyle w:val="Default"/>
            </w:pPr>
          </w:p>
          <w:p w:rsidR="00FC5833" w:rsidRPr="00D76291" w:rsidRDefault="00FC5833" w:rsidP="00FC5833">
            <w:pPr>
              <w:pStyle w:val="Default"/>
              <w:rPr>
                <w:b/>
              </w:rPr>
            </w:pPr>
            <w:r w:rsidRPr="00FC5833">
              <w:t>Economic development</w:t>
            </w:r>
          </w:p>
        </w:tc>
        <w:tc>
          <w:tcPr>
            <w:tcW w:w="3483" w:type="dxa"/>
          </w:tcPr>
          <w:p w:rsidR="00FC5833" w:rsidRDefault="00FC5833" w:rsidP="00FC5833">
            <w:pPr>
              <w:pStyle w:val="Default"/>
            </w:pPr>
          </w:p>
          <w:p w:rsidR="00FC5833" w:rsidRDefault="00FC5833" w:rsidP="00FC5833">
            <w:pPr>
              <w:pStyle w:val="Default"/>
            </w:pPr>
          </w:p>
          <w:p w:rsidR="00FC5833" w:rsidRDefault="00FC5833" w:rsidP="00FC5833">
            <w:pPr>
              <w:pStyle w:val="Default"/>
            </w:pPr>
            <w:r>
              <w:t xml:space="preserve">It is expected that additional legal capacity will be required for the highways Authority and the planning authorities. </w:t>
            </w:r>
          </w:p>
          <w:p w:rsidR="00FC5833" w:rsidRDefault="00FC5833" w:rsidP="00FC5833">
            <w:pPr>
              <w:pStyle w:val="Default"/>
            </w:pPr>
          </w:p>
          <w:p w:rsidR="005564F2" w:rsidRDefault="005564F2" w:rsidP="00FC5833">
            <w:pPr>
              <w:pStyle w:val="Default"/>
            </w:pPr>
          </w:p>
          <w:p w:rsidR="005564F2" w:rsidRDefault="005564F2" w:rsidP="00FC5833">
            <w:pPr>
              <w:pStyle w:val="Default"/>
            </w:pPr>
          </w:p>
          <w:p w:rsidR="00FC5833" w:rsidRDefault="00FC5833" w:rsidP="00FC5833">
            <w:pPr>
              <w:pStyle w:val="Default"/>
            </w:pPr>
            <w:r>
              <w:t>NNDC have offered their services to Wellingborough and Corby (as currently provided to Kettering and East Northants, with the costs to be borne from the fund.</w:t>
            </w:r>
          </w:p>
          <w:p w:rsidR="00FC5833" w:rsidRDefault="00FC5833" w:rsidP="00FC5833">
            <w:pPr>
              <w:pStyle w:val="Default"/>
            </w:pPr>
            <w:r>
              <w:t xml:space="preserve"> The JPU is commissioning additional design capacity to support existing and emerging SUEs.</w:t>
            </w:r>
          </w:p>
          <w:p w:rsidR="00FC5833" w:rsidRDefault="00FC5833" w:rsidP="00FC5833">
            <w:pPr>
              <w:pStyle w:val="Default"/>
            </w:pPr>
            <w:r>
              <w:t xml:space="preserve"> </w:t>
            </w:r>
          </w:p>
          <w:p w:rsidR="005564F2" w:rsidRDefault="005564F2" w:rsidP="00FC5833">
            <w:pPr>
              <w:pStyle w:val="Default"/>
            </w:pPr>
          </w:p>
          <w:p w:rsidR="005564F2" w:rsidRDefault="005564F2" w:rsidP="00FC5833">
            <w:pPr>
              <w:pStyle w:val="Default"/>
            </w:pPr>
          </w:p>
          <w:p w:rsidR="005564F2" w:rsidRDefault="005564F2" w:rsidP="00FC5833">
            <w:pPr>
              <w:pStyle w:val="Default"/>
            </w:pPr>
          </w:p>
          <w:p w:rsidR="005564F2" w:rsidRDefault="005564F2" w:rsidP="00FC5833">
            <w:pPr>
              <w:pStyle w:val="Default"/>
            </w:pPr>
          </w:p>
          <w:p w:rsidR="00FC5833" w:rsidRDefault="00FC5833" w:rsidP="00FC5833">
            <w:pPr>
              <w:pStyle w:val="Default"/>
            </w:pPr>
            <w:r>
              <w:t xml:space="preserve">Still to be developed. See subsequent report on this agenda </w:t>
            </w:r>
          </w:p>
          <w:p w:rsidR="00FC5833" w:rsidRDefault="00FC5833" w:rsidP="00FC5833">
            <w:pPr>
              <w:pStyle w:val="Default"/>
            </w:pPr>
          </w:p>
          <w:p w:rsidR="004E4419" w:rsidRDefault="004E4419" w:rsidP="00FC5833">
            <w:pPr>
              <w:pStyle w:val="Default"/>
            </w:pPr>
          </w:p>
          <w:p w:rsidR="004E4419" w:rsidRDefault="004E4419" w:rsidP="00FC5833">
            <w:pPr>
              <w:pStyle w:val="Default"/>
            </w:pPr>
          </w:p>
          <w:p w:rsidR="00FC5833" w:rsidRDefault="00FC5833" w:rsidP="00FC5833">
            <w:pPr>
              <w:pStyle w:val="Default"/>
            </w:pPr>
            <w:r>
              <w:t xml:space="preserve">An ad hoc economic development officer group has identified the need to develop place marketing work, building on work by developers and also work by NNDC pre 2010. </w:t>
            </w:r>
          </w:p>
          <w:p w:rsidR="00FC5833" w:rsidRPr="00D76291" w:rsidRDefault="00FC5833" w:rsidP="00FC5833">
            <w:pPr>
              <w:pStyle w:val="Default"/>
            </w:pPr>
            <w:r>
              <w:t xml:space="preserve">This would require a web presence and update of </w:t>
            </w:r>
            <w:r w:rsidRPr="00FC5833">
              <w:t>materials developed before 2010.</w:t>
            </w:r>
          </w:p>
        </w:tc>
        <w:tc>
          <w:tcPr>
            <w:tcW w:w="3143" w:type="dxa"/>
          </w:tcPr>
          <w:p w:rsidR="00FC5833" w:rsidRDefault="00FC5833" w:rsidP="00FC5833">
            <w:pPr>
              <w:pStyle w:val="Default"/>
            </w:pPr>
          </w:p>
          <w:p w:rsidR="00FC5833" w:rsidRDefault="00FC5833" w:rsidP="00FC5833">
            <w:pPr>
              <w:pStyle w:val="Default"/>
            </w:pPr>
          </w:p>
          <w:p w:rsidR="00FC5833" w:rsidRDefault="00FC5833" w:rsidP="00FC5833">
            <w:pPr>
              <w:pStyle w:val="Default"/>
            </w:pPr>
            <w:r>
              <w:t xml:space="preserve">Nothing has been committed as yet. </w:t>
            </w:r>
            <w:r w:rsidR="005564F2">
              <w:t xml:space="preserve">Currently in discussion to explore id a legal framework can be </w:t>
            </w:r>
            <w:r w:rsidR="005564F2">
              <w:lastRenderedPageBreak/>
              <w:t xml:space="preserve">set up so officer could have a call off </w:t>
            </w:r>
            <w:r w:rsidR="005564F2" w:rsidRPr="00EB6C41">
              <w:t>facility.</w:t>
            </w:r>
          </w:p>
          <w:p w:rsidR="00FC5833" w:rsidRDefault="00FC5833" w:rsidP="00FC5833">
            <w:pPr>
              <w:pStyle w:val="Default"/>
            </w:pPr>
          </w:p>
          <w:p w:rsidR="00FC5833" w:rsidRDefault="00FC5833" w:rsidP="00FC5833">
            <w:pPr>
              <w:pStyle w:val="Default"/>
            </w:pPr>
            <w:r>
              <w:t xml:space="preserve">No expenditure yet. </w:t>
            </w: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p>
          <w:p w:rsidR="00FC5833" w:rsidRDefault="00FC5833" w:rsidP="00FC5833">
            <w:pPr>
              <w:pStyle w:val="Default"/>
            </w:pPr>
            <w:r>
              <w:t xml:space="preserve">Due to be covered by the provision within the fund and through developer contributions. </w:t>
            </w:r>
            <w:r w:rsidR="005564F2">
              <w:t xml:space="preserve">Additional days support to run on after the current </w:t>
            </w:r>
            <w:r w:rsidR="005564F2" w:rsidRPr="00EB6C41">
              <w:t>JPU</w:t>
            </w:r>
            <w:r w:rsidR="005564F2">
              <w:t xml:space="preserve"> additional capacity funding that is in place</w:t>
            </w:r>
          </w:p>
          <w:p w:rsidR="00FC5833" w:rsidRDefault="00FC5833" w:rsidP="00FC5833">
            <w:pPr>
              <w:pStyle w:val="Default"/>
            </w:pPr>
          </w:p>
          <w:p w:rsidR="00FC5833" w:rsidRDefault="005564F2" w:rsidP="00FC5833">
            <w:pPr>
              <w:pStyle w:val="Default"/>
            </w:pPr>
            <w:r>
              <w:t>£2.5K spend on East Kettering Newsletters.</w:t>
            </w:r>
          </w:p>
          <w:p w:rsidR="00FC5833" w:rsidRDefault="00FC5833" w:rsidP="00FC5833">
            <w:pPr>
              <w:pStyle w:val="Default"/>
            </w:pPr>
          </w:p>
          <w:p w:rsidR="00FC5833" w:rsidRDefault="00FC5833" w:rsidP="00FC5833">
            <w:pPr>
              <w:pStyle w:val="Default"/>
            </w:pPr>
          </w:p>
          <w:p w:rsidR="004E4419" w:rsidRDefault="004E4419" w:rsidP="00FC5833">
            <w:pPr>
              <w:pStyle w:val="Default"/>
            </w:pPr>
          </w:p>
          <w:p w:rsidR="00FC5833" w:rsidRDefault="00FC5833" w:rsidP="00FC5833">
            <w:pPr>
              <w:pStyle w:val="Default"/>
            </w:pPr>
          </w:p>
          <w:p w:rsidR="00FC5833" w:rsidRPr="00D76291" w:rsidRDefault="00FC5833" w:rsidP="00FC5833">
            <w:pPr>
              <w:pStyle w:val="Default"/>
            </w:pPr>
            <w:r>
              <w:t>Still to be worked through.</w:t>
            </w:r>
          </w:p>
        </w:tc>
      </w:tr>
      <w:tr w:rsidR="00CC64B2" w:rsidTr="00D76291">
        <w:tc>
          <w:tcPr>
            <w:tcW w:w="2802" w:type="dxa"/>
          </w:tcPr>
          <w:p w:rsidR="00CC64B2" w:rsidRDefault="00CC64B2" w:rsidP="00FC5833">
            <w:pPr>
              <w:pStyle w:val="Default"/>
              <w:rPr>
                <w:u w:val="single"/>
              </w:rPr>
            </w:pPr>
            <w:r w:rsidRPr="00CC64B2">
              <w:rPr>
                <w:u w:val="single"/>
              </w:rPr>
              <w:lastRenderedPageBreak/>
              <w:t>Assessments and studies</w:t>
            </w:r>
          </w:p>
          <w:p w:rsidR="00CC64B2" w:rsidRDefault="00CC64B2" w:rsidP="00FC5833">
            <w:pPr>
              <w:pStyle w:val="Default"/>
              <w:rPr>
                <w:u w:val="single"/>
              </w:rPr>
            </w:pPr>
          </w:p>
          <w:p w:rsidR="00CC64B2" w:rsidRDefault="00CC64B2" w:rsidP="00FC5833">
            <w:pPr>
              <w:pStyle w:val="Default"/>
            </w:pPr>
            <w:r w:rsidRPr="00CC64B2">
              <w:t>Delivery plan</w:t>
            </w: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12756" w:rsidRDefault="00C12756" w:rsidP="00FC5833">
            <w:pPr>
              <w:pStyle w:val="Default"/>
            </w:pPr>
          </w:p>
          <w:p w:rsidR="00C12756" w:rsidRDefault="00C12756" w:rsidP="00FC5833">
            <w:pPr>
              <w:pStyle w:val="Default"/>
            </w:pPr>
          </w:p>
          <w:p w:rsidR="00C12756" w:rsidRDefault="00C12756"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Pr="000A3ED8" w:rsidRDefault="00CC64B2" w:rsidP="00FC5833">
            <w:pPr>
              <w:pStyle w:val="Default"/>
              <w:rPr>
                <w:b/>
              </w:rPr>
            </w:pPr>
            <w:r w:rsidRPr="000A3ED8">
              <w:rPr>
                <w:b/>
              </w:rPr>
              <w:t>Utilities study</w:t>
            </w: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Pr="000A3ED8" w:rsidRDefault="00CC64B2" w:rsidP="00FC5833">
            <w:pPr>
              <w:pStyle w:val="Default"/>
              <w:rPr>
                <w:b/>
              </w:rPr>
            </w:pPr>
            <w:r w:rsidRPr="000A3ED8">
              <w:rPr>
                <w:b/>
              </w:rPr>
              <w:t>Health services study</w:t>
            </w: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r w:rsidRPr="005D10FB">
              <w:t>Urban design studies</w:t>
            </w: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Pr="00CC64B2" w:rsidRDefault="005D10FB" w:rsidP="00FC5833">
            <w:pPr>
              <w:pStyle w:val="Default"/>
            </w:pPr>
            <w:r w:rsidRPr="005D10FB">
              <w:t>Transport assessments</w:t>
            </w:r>
          </w:p>
        </w:tc>
        <w:tc>
          <w:tcPr>
            <w:tcW w:w="3483" w:type="dxa"/>
          </w:tcPr>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r w:rsidRPr="00CC64B2">
              <w:t xml:space="preserve">A delivery plan has been commissioned by the JPU on behalf of the partnership from a consortium of consultants led by </w:t>
            </w:r>
            <w:proofErr w:type="spellStart"/>
            <w:r w:rsidRPr="00CC64B2">
              <w:t>Aspinall</w:t>
            </w:r>
            <w:proofErr w:type="spellEnd"/>
            <w:r w:rsidRPr="00CC64B2">
              <w:t xml:space="preserve"> Verdi, after a competitive tendering process. </w:t>
            </w:r>
            <w:r w:rsidR="00C12756">
              <w:t>A final draft is being presented to committee on 22</w:t>
            </w:r>
            <w:r w:rsidR="00C12756" w:rsidRPr="00C12756">
              <w:rPr>
                <w:vertAlign w:val="superscript"/>
              </w:rPr>
              <w:t>nd</w:t>
            </w:r>
            <w:r w:rsidR="00C12756">
              <w:t xml:space="preserve"> Oct</w:t>
            </w:r>
            <w:r w:rsidRPr="00CC64B2">
              <w:t>.</w:t>
            </w:r>
            <w:r w:rsidR="00C12756">
              <w:t xml:space="preserve"> Extensive engagement has taken place to enable the Draft Delivery Plan to be reported on!</w:t>
            </w:r>
            <w:r w:rsidRPr="00CC64B2">
              <w:t xml:space="preserve"> This is an overall </w:t>
            </w:r>
            <w:r w:rsidRPr="00CC64B2">
              <w:lastRenderedPageBreak/>
              <w:t>plan to guide the work of the Joint Delivery Unit and to provide evidence for the examination of the Joint Core Strategy</w:t>
            </w:r>
            <w:r w:rsidR="00C12756">
              <w:t>.</w:t>
            </w:r>
            <w:r w:rsidRPr="00CC64B2">
              <w:t xml:space="preserve"> </w:t>
            </w:r>
          </w:p>
          <w:p w:rsidR="00EB6C41" w:rsidRDefault="00EB6C41" w:rsidP="00FC5833">
            <w:pPr>
              <w:pStyle w:val="Default"/>
            </w:pPr>
          </w:p>
          <w:p w:rsidR="00CC64B2" w:rsidRDefault="00CC64B2" w:rsidP="00FC5833">
            <w:pPr>
              <w:pStyle w:val="Default"/>
            </w:pPr>
            <w:r w:rsidRPr="00CC64B2">
              <w:t>A county wide utilities study has been commissioned from Peter Brett Associates by NEP and this is in progress. There will be opportunity to refine this to the NN area if necessary once it has been completed.</w:t>
            </w:r>
            <w:r w:rsidR="00C12756">
              <w:t xml:space="preserve"> </w:t>
            </w:r>
          </w:p>
          <w:p w:rsidR="00CC64B2" w:rsidRDefault="00CC64B2" w:rsidP="00FC5833">
            <w:pPr>
              <w:pStyle w:val="Default"/>
            </w:pPr>
            <w:r w:rsidRPr="00CC64B2">
              <w:t>After a difficult start, agreement has been reached in principle with Nene CCG to commission a study of health needs and health service solutions across the SUEs.</w:t>
            </w:r>
          </w:p>
          <w:p w:rsidR="005D10FB" w:rsidRDefault="005D10FB" w:rsidP="00FC5833">
            <w:pPr>
              <w:pStyle w:val="Default"/>
            </w:pPr>
          </w:p>
          <w:p w:rsidR="005D10FB" w:rsidRDefault="005D10FB" w:rsidP="00FC5833">
            <w:pPr>
              <w:pStyle w:val="Default"/>
            </w:pPr>
            <w:r w:rsidRPr="005D10FB">
              <w:t>Detailed urban structure analysis of Corby and</w:t>
            </w:r>
            <w:r>
              <w:t xml:space="preserve"> </w:t>
            </w:r>
            <w:r w:rsidRPr="005D10FB">
              <w:t>Rushden has been commissioned by the JPU on behalf of the partnership to assess opportunities for improving connectivity, walking and cycling options, and for measuring the spatial effects of expansion to the towns.</w:t>
            </w:r>
          </w:p>
          <w:p w:rsidR="005D10FB" w:rsidRDefault="005D10FB" w:rsidP="00FC5833">
            <w:pPr>
              <w:pStyle w:val="Default"/>
            </w:pPr>
          </w:p>
          <w:p w:rsidR="005D10FB" w:rsidRDefault="005D10FB" w:rsidP="00FC5833">
            <w:pPr>
              <w:pStyle w:val="Default"/>
            </w:pPr>
            <w:r w:rsidRPr="005D10FB">
              <w:t>NCC to commission these</w:t>
            </w:r>
          </w:p>
        </w:tc>
        <w:tc>
          <w:tcPr>
            <w:tcW w:w="3143" w:type="dxa"/>
          </w:tcPr>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r w:rsidRPr="00CC64B2">
              <w:t>Cost of £30k</w:t>
            </w: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12756" w:rsidRDefault="00C12756" w:rsidP="00FC5833">
            <w:pPr>
              <w:pStyle w:val="Default"/>
            </w:pPr>
          </w:p>
          <w:p w:rsidR="00C12756" w:rsidRDefault="00C12756"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EB6C41" w:rsidRDefault="00CC64B2" w:rsidP="00EB6C41">
            <w:pPr>
              <w:pStyle w:val="Default"/>
            </w:pPr>
            <w:r w:rsidRPr="00CC64B2">
              <w:t>Costs being borne by NEP.</w:t>
            </w:r>
            <w:r w:rsidR="00EB6C41">
              <w:t xml:space="preserve"> A strategic board meeting is arranged for the 15</w:t>
            </w:r>
            <w:r w:rsidR="00EB6C41" w:rsidRPr="00C12756">
              <w:rPr>
                <w:vertAlign w:val="superscript"/>
              </w:rPr>
              <w:t>th</w:t>
            </w:r>
            <w:r w:rsidR="00EB6C41">
              <w:t xml:space="preserve"> Oct. An update will be given on the night of Committee</w:t>
            </w:r>
          </w:p>
          <w:p w:rsidR="00CC64B2" w:rsidRDefault="00CC64B2" w:rsidP="00FC5833">
            <w:pPr>
              <w:pStyle w:val="Default"/>
            </w:pPr>
          </w:p>
          <w:p w:rsidR="00CC64B2" w:rsidRDefault="00CC64B2" w:rsidP="00FC5833">
            <w:pPr>
              <w:pStyle w:val="Default"/>
            </w:pPr>
          </w:p>
          <w:p w:rsidR="00CC64B2" w:rsidRDefault="00CC64B2" w:rsidP="00FC5833">
            <w:pPr>
              <w:pStyle w:val="Default"/>
            </w:pPr>
          </w:p>
          <w:p w:rsidR="00CC64B2" w:rsidRDefault="00C12756" w:rsidP="00FC5833">
            <w:pPr>
              <w:pStyle w:val="Default"/>
            </w:pPr>
            <w:r>
              <w:t>O</w:t>
            </w:r>
            <w:r w:rsidR="005D10FB" w:rsidRPr="005D10FB">
              <w:t>ut to tender</w:t>
            </w:r>
            <w:r>
              <w:t>. Consultants due to be appointed by the end of Oct / early Nov. Seeking to report the findings to the Jan 2016 committee.</w:t>
            </w:r>
          </w:p>
          <w:p w:rsidR="005D10FB" w:rsidRDefault="005D10FB" w:rsidP="00FC5833">
            <w:pPr>
              <w:pStyle w:val="Default"/>
            </w:pPr>
          </w:p>
          <w:p w:rsidR="005D10FB" w:rsidRDefault="005D10FB" w:rsidP="00FC5833">
            <w:pPr>
              <w:pStyle w:val="Default"/>
            </w:pPr>
            <w:r w:rsidRPr="005D10FB">
              <w:t>Costs of £18,000</w:t>
            </w: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FC5833">
            <w:pPr>
              <w:pStyle w:val="Default"/>
            </w:pPr>
          </w:p>
          <w:p w:rsidR="005D10FB" w:rsidRDefault="005D10FB" w:rsidP="005D10FB">
            <w:pPr>
              <w:pStyle w:val="Default"/>
            </w:pPr>
            <w:r w:rsidRPr="005D10FB">
              <w:t>Within budget of £40,000</w:t>
            </w:r>
            <w:r w:rsidR="00C12756">
              <w:t>. No specific details received to date.</w:t>
            </w:r>
          </w:p>
        </w:tc>
      </w:tr>
      <w:tr w:rsidR="00CC64B2" w:rsidTr="00D76291">
        <w:tc>
          <w:tcPr>
            <w:tcW w:w="2802" w:type="dxa"/>
          </w:tcPr>
          <w:p w:rsidR="00CC64B2" w:rsidRPr="005D10FB" w:rsidRDefault="005D10FB" w:rsidP="00FC5833">
            <w:pPr>
              <w:pStyle w:val="Default"/>
            </w:pPr>
            <w:r w:rsidRPr="005D10FB">
              <w:lastRenderedPageBreak/>
              <w:t>Accommodation for the JDU</w:t>
            </w:r>
          </w:p>
        </w:tc>
        <w:tc>
          <w:tcPr>
            <w:tcW w:w="3483" w:type="dxa"/>
          </w:tcPr>
          <w:p w:rsidR="00CC64B2" w:rsidRDefault="005D10FB" w:rsidP="00FC5833">
            <w:pPr>
              <w:pStyle w:val="Default"/>
            </w:pPr>
            <w:r w:rsidRPr="005D10FB">
              <w:t xml:space="preserve">Wellingborough BC </w:t>
            </w:r>
            <w:proofErr w:type="gramStart"/>
            <w:r w:rsidRPr="005D10FB">
              <w:t>have</w:t>
            </w:r>
            <w:proofErr w:type="gramEnd"/>
            <w:r w:rsidRPr="005D10FB">
              <w:t xml:space="preserve"> offered space in their </w:t>
            </w:r>
            <w:proofErr w:type="spellStart"/>
            <w:r w:rsidRPr="005D10FB">
              <w:t>Swanspool</w:t>
            </w:r>
            <w:proofErr w:type="spellEnd"/>
            <w:r w:rsidRPr="005D10FB">
              <w:t xml:space="preserve"> Offices for the JDU to be housed there.</w:t>
            </w:r>
          </w:p>
        </w:tc>
        <w:tc>
          <w:tcPr>
            <w:tcW w:w="3143" w:type="dxa"/>
          </w:tcPr>
          <w:p w:rsidR="00CC64B2" w:rsidRDefault="005D10FB" w:rsidP="00FC5833">
            <w:pPr>
              <w:pStyle w:val="Default"/>
            </w:pPr>
            <w:r w:rsidRPr="005D10FB">
              <w:t>No cost to the fund, although some additional Kit costs to be borne from within the fund at the point they are incurred.</w:t>
            </w:r>
          </w:p>
        </w:tc>
      </w:tr>
    </w:tbl>
    <w:p w:rsidR="00D76291" w:rsidRDefault="00D76291" w:rsidP="00D76291">
      <w:pPr>
        <w:pStyle w:val="Default"/>
      </w:pPr>
    </w:p>
    <w:p w:rsidR="007B6870" w:rsidRDefault="005D10FB" w:rsidP="002E290E">
      <w:pPr>
        <w:ind w:left="567" w:hanging="567"/>
        <w:jc w:val="both"/>
        <w:rPr>
          <w:b/>
          <w:sz w:val="24"/>
        </w:rPr>
      </w:pPr>
      <w:r>
        <w:rPr>
          <w:sz w:val="24"/>
        </w:rPr>
        <w:tab/>
      </w:r>
      <w:r w:rsidRPr="005D10FB">
        <w:rPr>
          <w:b/>
          <w:sz w:val="24"/>
        </w:rPr>
        <w:t>Conclusion</w:t>
      </w:r>
    </w:p>
    <w:p w:rsidR="00715C88" w:rsidRDefault="00715C88" w:rsidP="002E290E">
      <w:pPr>
        <w:ind w:left="567" w:hanging="567"/>
        <w:jc w:val="both"/>
        <w:rPr>
          <w:b/>
          <w:sz w:val="24"/>
        </w:rPr>
      </w:pPr>
    </w:p>
    <w:p w:rsidR="002D4F16" w:rsidRDefault="002D4F16" w:rsidP="002E290E">
      <w:pPr>
        <w:ind w:left="567" w:hanging="567"/>
        <w:jc w:val="both"/>
        <w:rPr>
          <w:sz w:val="24"/>
        </w:rPr>
      </w:pPr>
      <w:r>
        <w:rPr>
          <w:sz w:val="24"/>
        </w:rPr>
        <w:t xml:space="preserve">2.9 </w:t>
      </w:r>
      <w:r>
        <w:rPr>
          <w:sz w:val="24"/>
        </w:rPr>
        <w:tab/>
        <w:t>Progress has been made</w:t>
      </w:r>
      <w:r w:rsidR="005D10FB" w:rsidRPr="005D10FB">
        <w:rPr>
          <w:sz w:val="24"/>
        </w:rPr>
        <w:t xml:space="preserve"> with the </w:t>
      </w:r>
      <w:r>
        <w:rPr>
          <w:sz w:val="24"/>
        </w:rPr>
        <w:t>study milestone with the Delivery Plan in a final draft form and the Health Study out to tender. With the appointment of two part time project officers anticipated to start soon, the pace of work can take a further step up.</w:t>
      </w:r>
    </w:p>
    <w:p w:rsidR="002D4F16" w:rsidRDefault="002D4F16" w:rsidP="002E290E">
      <w:pPr>
        <w:ind w:left="567" w:hanging="567"/>
        <w:jc w:val="both"/>
        <w:rPr>
          <w:sz w:val="24"/>
        </w:rPr>
      </w:pPr>
    </w:p>
    <w:p w:rsidR="002D4F16" w:rsidRDefault="002D4F16" w:rsidP="002E290E">
      <w:pPr>
        <w:ind w:left="567" w:hanging="567"/>
        <w:jc w:val="both"/>
        <w:rPr>
          <w:sz w:val="24"/>
        </w:rPr>
      </w:pPr>
      <w:r>
        <w:rPr>
          <w:sz w:val="24"/>
        </w:rPr>
        <w:lastRenderedPageBreak/>
        <w:t xml:space="preserve">2.10 </w:t>
      </w:r>
      <w:r>
        <w:rPr>
          <w:sz w:val="24"/>
        </w:rPr>
        <w:tab/>
        <w:t xml:space="preserve">The North Northamptonshire Strategic Stakeholders Group has been </w:t>
      </w:r>
      <w:r w:rsidR="00EB6C41">
        <w:rPr>
          <w:sz w:val="24"/>
        </w:rPr>
        <w:t>arranged</w:t>
      </w:r>
      <w:r>
        <w:rPr>
          <w:sz w:val="24"/>
        </w:rPr>
        <w:t xml:space="preserve"> and met for the first time, which is </w:t>
      </w:r>
      <w:proofErr w:type="gramStart"/>
      <w:r>
        <w:rPr>
          <w:sz w:val="24"/>
        </w:rPr>
        <w:t>key</w:t>
      </w:r>
      <w:proofErr w:type="gramEnd"/>
      <w:r>
        <w:rPr>
          <w:sz w:val="24"/>
        </w:rPr>
        <w:t xml:space="preserve"> to help unlock barriers to the delivery process. More detailed work is underway on specific SUE action plans, which will focus in detail on the actions to remove the barriers to delivery of homes and jobs. They will clearly </w:t>
      </w:r>
      <w:r w:rsidR="000A3ED8">
        <w:rPr>
          <w:sz w:val="24"/>
        </w:rPr>
        <w:t xml:space="preserve">be </w:t>
      </w:r>
      <w:r>
        <w:rPr>
          <w:sz w:val="24"/>
        </w:rPr>
        <w:t>evidence</w:t>
      </w:r>
      <w:r w:rsidR="000A3ED8">
        <w:rPr>
          <w:sz w:val="24"/>
        </w:rPr>
        <w:t>d</w:t>
      </w:r>
      <w:r>
        <w:rPr>
          <w:sz w:val="24"/>
        </w:rPr>
        <w:t xml:space="preserve"> by a variety of different elements of information to demonstrate start dates on key infrastructure, housing and employment sites.</w:t>
      </w:r>
    </w:p>
    <w:p w:rsidR="00245F23" w:rsidRDefault="00245F23" w:rsidP="002E290E">
      <w:pPr>
        <w:ind w:left="567" w:hanging="567"/>
        <w:jc w:val="both"/>
        <w:rPr>
          <w:sz w:val="24"/>
        </w:rPr>
      </w:pPr>
    </w:p>
    <w:p w:rsidR="00245F23" w:rsidRDefault="00245F23" w:rsidP="002E290E">
      <w:pPr>
        <w:ind w:left="567" w:hanging="567"/>
        <w:jc w:val="both"/>
        <w:rPr>
          <w:sz w:val="24"/>
        </w:rPr>
      </w:pPr>
      <w:r>
        <w:rPr>
          <w:sz w:val="24"/>
        </w:rPr>
        <w:t>2.11</w:t>
      </w:r>
      <w:r>
        <w:rPr>
          <w:sz w:val="24"/>
        </w:rPr>
        <w:tab/>
        <w:t>Further work will commence once the Delivery Plan has been endorsed, to implement the key actions set out in the Action Matrix, which in turn will help the debate regarding the future of the JDU.</w:t>
      </w:r>
    </w:p>
    <w:p w:rsidR="00245F23" w:rsidRDefault="00245F23" w:rsidP="002E290E">
      <w:pPr>
        <w:ind w:left="567" w:hanging="567"/>
        <w:jc w:val="both"/>
        <w:rPr>
          <w:sz w:val="24"/>
        </w:rPr>
      </w:pPr>
    </w:p>
    <w:p w:rsidR="00245F23" w:rsidRDefault="00245F23" w:rsidP="002E290E">
      <w:pPr>
        <w:ind w:left="567" w:hanging="567"/>
        <w:jc w:val="both"/>
        <w:rPr>
          <w:sz w:val="24"/>
        </w:rPr>
      </w:pPr>
      <w:r>
        <w:rPr>
          <w:sz w:val="24"/>
        </w:rPr>
        <w:t>2.12</w:t>
      </w:r>
      <w:r>
        <w:rPr>
          <w:sz w:val="24"/>
        </w:rPr>
        <w:tab/>
        <w:t>As the</w:t>
      </w:r>
      <w:r w:rsidR="00B86B62">
        <w:rPr>
          <w:sz w:val="24"/>
        </w:rPr>
        <w:t xml:space="preserve"> team starts to come together an</w:t>
      </w:r>
      <w:r>
        <w:rPr>
          <w:sz w:val="24"/>
        </w:rPr>
        <w:t>d wo</w:t>
      </w:r>
      <w:r w:rsidR="00B86B62">
        <w:rPr>
          <w:sz w:val="24"/>
        </w:rPr>
        <w:t>rk arrangements</w:t>
      </w:r>
      <w:r>
        <w:rPr>
          <w:sz w:val="24"/>
        </w:rPr>
        <w:t xml:space="preserve"> wi</w:t>
      </w:r>
      <w:r w:rsidR="00B86B62">
        <w:rPr>
          <w:sz w:val="24"/>
        </w:rPr>
        <w:t>th the developers continue to fo</w:t>
      </w:r>
      <w:r>
        <w:rPr>
          <w:sz w:val="24"/>
        </w:rPr>
        <w:t>cus on delivery</w:t>
      </w:r>
      <w:r w:rsidR="00B86B62">
        <w:rPr>
          <w:sz w:val="24"/>
        </w:rPr>
        <w:t xml:space="preserve">, </w:t>
      </w:r>
      <w:r w:rsidR="00B86B62" w:rsidRPr="00EB6C41">
        <w:rPr>
          <w:sz w:val="24"/>
        </w:rPr>
        <w:t>this</w:t>
      </w:r>
      <w:r w:rsidR="00B86B62">
        <w:rPr>
          <w:sz w:val="24"/>
        </w:rPr>
        <w:t xml:space="preserve"> will allow more progressive discussion to take place on the barriers, discharge of conditions, approvals of S278/S38, drainage and strategic matters.</w:t>
      </w:r>
    </w:p>
    <w:p w:rsidR="005D10FB" w:rsidRDefault="005D10FB" w:rsidP="002E290E">
      <w:pPr>
        <w:ind w:left="567" w:hanging="567"/>
        <w:jc w:val="both"/>
        <w:rPr>
          <w:sz w:val="24"/>
        </w:rPr>
      </w:pPr>
    </w:p>
    <w:p w:rsidR="005D10FB" w:rsidRDefault="002D4F16" w:rsidP="002E290E">
      <w:pPr>
        <w:ind w:left="567" w:hanging="567"/>
        <w:jc w:val="both"/>
        <w:rPr>
          <w:sz w:val="23"/>
          <w:szCs w:val="23"/>
        </w:rPr>
      </w:pPr>
      <w:r w:rsidRPr="006153F7">
        <w:rPr>
          <w:sz w:val="24"/>
          <w:szCs w:val="24"/>
        </w:rPr>
        <w:t>2.13</w:t>
      </w:r>
      <w:r w:rsidR="005D10FB" w:rsidRPr="006153F7">
        <w:rPr>
          <w:sz w:val="24"/>
          <w:szCs w:val="24"/>
        </w:rPr>
        <w:tab/>
        <w:t>Progress reports will continue to be delivered to the committee each time it meets</w:t>
      </w:r>
      <w:r w:rsidR="005D10FB">
        <w:rPr>
          <w:sz w:val="23"/>
          <w:szCs w:val="23"/>
        </w:rPr>
        <w:t>.</w:t>
      </w:r>
    </w:p>
    <w:p w:rsidR="005D10FB" w:rsidRDefault="005D10FB" w:rsidP="002E290E">
      <w:pPr>
        <w:ind w:left="567" w:hanging="567"/>
        <w:jc w:val="both"/>
        <w:rPr>
          <w:sz w:val="23"/>
          <w:szCs w:val="23"/>
        </w:rPr>
      </w:pPr>
    </w:p>
    <w:p w:rsidR="002E290E" w:rsidRPr="002E290E" w:rsidRDefault="002E290E" w:rsidP="002E290E">
      <w:pPr>
        <w:ind w:left="567" w:hanging="567"/>
        <w:jc w:val="both"/>
        <w:rPr>
          <w:sz w:val="24"/>
        </w:rPr>
      </w:pPr>
    </w:p>
    <w:p w:rsidR="00465AB7" w:rsidRDefault="006353F1" w:rsidP="002E290E">
      <w:pPr>
        <w:jc w:val="both"/>
        <w:rPr>
          <w:sz w:val="24"/>
          <w:u w:val="single"/>
        </w:rPr>
      </w:pPr>
      <w:r>
        <w:rPr>
          <w:noProof/>
          <w:sz w:val="24"/>
          <w:lang w:eastAsia="en-GB"/>
        </w:rPr>
        <mc:AlternateContent>
          <mc:Choice Requires="wps">
            <w:drawing>
              <wp:inline distT="0" distB="0" distL="0" distR="0">
                <wp:extent cx="5918835" cy="702945"/>
                <wp:effectExtent l="9525" t="9525" r="5715" b="1143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702945"/>
                        </a:xfrm>
                        <a:prstGeom prst="rect">
                          <a:avLst/>
                        </a:prstGeom>
                        <a:solidFill>
                          <a:srgbClr val="FFFFFF"/>
                        </a:solidFill>
                        <a:ln w="9525">
                          <a:solidFill>
                            <a:srgbClr val="000000"/>
                          </a:solidFill>
                          <a:miter lim="800000"/>
                          <a:headEnd/>
                          <a:tailEnd/>
                        </a:ln>
                      </wps:spPr>
                      <wps:txbx>
                        <w:txbxContent>
                          <w:p w:rsidR="002E290E" w:rsidRPr="002E290E" w:rsidRDefault="002E290E" w:rsidP="00DD5942">
                            <w:pPr>
                              <w:numPr>
                                <w:ilvl w:val="0"/>
                                <w:numId w:val="15"/>
                              </w:numPr>
                              <w:jc w:val="both"/>
                              <w:rPr>
                                <w:sz w:val="24"/>
                                <w:u w:val="single"/>
                              </w:rPr>
                            </w:pPr>
                            <w:r w:rsidRPr="002E290E">
                              <w:rPr>
                                <w:b/>
                                <w:sz w:val="24"/>
                                <w:u w:val="single"/>
                              </w:rPr>
                              <w:t>RECOMMENDATION</w:t>
                            </w:r>
                          </w:p>
                          <w:p w:rsidR="002E290E" w:rsidRPr="002E290E" w:rsidRDefault="002E290E" w:rsidP="002E290E">
                            <w:pPr>
                              <w:jc w:val="both"/>
                              <w:rPr>
                                <w:sz w:val="24"/>
                                <w:u w:val="single"/>
                              </w:rPr>
                            </w:pPr>
                          </w:p>
                          <w:p w:rsidR="002E290E" w:rsidRDefault="00DD5942" w:rsidP="002E290E">
                            <w:pPr>
                              <w:spacing w:afterLines="50" w:after="120"/>
                              <w:ind w:left="567" w:hanging="567"/>
                              <w:jc w:val="both"/>
                              <w:rPr>
                                <w:sz w:val="24"/>
                              </w:rPr>
                            </w:pPr>
                            <w:r>
                              <w:rPr>
                                <w:sz w:val="24"/>
                              </w:rPr>
                              <w:t xml:space="preserve">      Members are requested to note the report</w:t>
                            </w:r>
                          </w:p>
                        </w:txbxContent>
                      </wps:txbx>
                      <wps:bodyPr rot="0" vert="horz" wrap="square" lIns="91440" tIns="45720" rIns="91440" bIns="45720" anchor="t" anchorCtr="0" upright="1">
                        <a:spAutoFit/>
                      </wps:bodyPr>
                    </wps:wsp>
                  </a:graphicData>
                </a:graphic>
              </wp:inline>
            </w:drawing>
          </mc:Choice>
          <mc:Fallback>
            <w:pict>
              <v:shape id="Text Box 3" o:spid="_x0000_s1027" type="#_x0000_t202" style="width:466.05pt;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">
                <v:textbox style="mso-fit-shape-to-text:t">
                  <w:txbxContent>
                    <w:p w:rsidR="002E290E" w:rsidRPr="002E290E" w:rsidRDefault="002E290E" w:rsidP="00DD5942">
                      <w:pPr>
                        <w:numPr>
                          <w:ilvl w:val="0"/>
                          <w:numId w:val="15"/>
                        </w:numPr>
                        <w:jc w:val="both"/>
                        <w:rPr>
                          <w:sz w:val="24"/>
                          <w:u w:val="single"/>
                        </w:rPr>
                      </w:pPr>
                      <w:r w:rsidRPr="002E290E">
                        <w:rPr>
                          <w:b/>
                          <w:sz w:val="24"/>
                          <w:u w:val="single"/>
                        </w:rPr>
                        <w:t>RECOMMENDATION</w:t>
                      </w:r>
                    </w:p>
                    <w:p w:rsidR="002E290E" w:rsidRPr="002E290E" w:rsidRDefault="002E290E" w:rsidP="002E290E">
                      <w:pPr>
                        <w:jc w:val="both"/>
                        <w:rPr>
                          <w:sz w:val="24"/>
                          <w:u w:val="single"/>
                        </w:rPr>
                      </w:pPr>
                    </w:p>
                    <w:p w:rsidR="002E290E" w:rsidRDefault="00DD5942" w:rsidP="002E290E">
                      <w:pPr>
                        <w:spacing w:afterLines="50" w:after="120"/>
                        <w:ind w:left="567" w:hanging="567"/>
                        <w:jc w:val="both"/>
                        <w:rPr>
                          <w:sz w:val="24"/>
                        </w:rPr>
                      </w:pPr>
                      <w:r>
                        <w:rPr>
                          <w:sz w:val="24"/>
                        </w:rPr>
                        <w:t xml:space="preserve">      Members are requested to note the report</w:t>
                      </w:r>
                    </w:p>
                  </w:txbxContent>
                </v:textbox>
                <w10:anchorlock/>
              </v:shape>
            </w:pict>
          </mc:Fallback>
        </mc:AlternateContent>
      </w:r>
    </w:p>
    <w:p w:rsidR="002E290E" w:rsidRPr="002E290E" w:rsidRDefault="002E290E" w:rsidP="002E290E">
      <w:pPr>
        <w:jc w:val="both"/>
        <w:rPr>
          <w:sz w:val="24"/>
          <w:u w:val="single"/>
        </w:rPr>
      </w:pPr>
    </w:p>
    <w:p w:rsidR="00747E5C" w:rsidRDefault="00747E5C" w:rsidP="001B1A63">
      <w:pPr>
        <w:rPr>
          <w:sz w:val="24"/>
        </w:rPr>
      </w:pPr>
    </w:p>
    <w:p w:rsidR="006D7A2F" w:rsidRPr="001B1A63" w:rsidRDefault="006D7A2F" w:rsidP="001B1A63">
      <w:pPr>
        <w:rPr>
          <w:sz w:val="24"/>
        </w:rPr>
      </w:pPr>
    </w:p>
    <w:sectPr w:rsidR="006D7A2F" w:rsidRPr="001B1A63" w:rsidSect="00FC6EB9">
      <w:headerReference w:type="default" r:id="rId9"/>
      <w:headerReference w:type="first" r:id="rId10"/>
      <w:pgSz w:w="11906" w:h="16838" w:code="9"/>
      <w:pgMar w:top="1134" w:right="1134"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45" w:rsidRDefault="00F97445">
      <w:r>
        <w:separator/>
      </w:r>
    </w:p>
  </w:endnote>
  <w:endnote w:type="continuationSeparator" w:id="0">
    <w:p w:rsidR="00F97445" w:rsidRDefault="00F9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ton">
    <w:altName w:val="Carton"/>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A00002AF" w:usb1="5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45" w:rsidRDefault="00F97445">
      <w:r>
        <w:separator/>
      </w:r>
    </w:p>
  </w:footnote>
  <w:footnote w:type="continuationSeparator" w:id="0">
    <w:p w:rsidR="00F97445" w:rsidRDefault="00F97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5386"/>
      <w:gridCol w:w="1276"/>
      <w:gridCol w:w="992"/>
    </w:tblGrid>
    <w:tr w:rsidR="001D4DFB" w:rsidRPr="008E603D" w:rsidTr="00610B3B">
      <w:trPr>
        <w:cantSplit/>
      </w:trPr>
      <w:tc>
        <w:tcPr>
          <w:tcW w:w="9180" w:type="dxa"/>
          <w:gridSpan w:val="4"/>
        </w:tcPr>
        <w:p w:rsidR="001D4DFB" w:rsidRPr="008E603D" w:rsidRDefault="001D4DFB" w:rsidP="00610B3B">
          <w:pPr>
            <w:pStyle w:val="Header"/>
            <w:jc w:val="center"/>
            <w:rPr>
              <w:b/>
              <w:sz w:val="24"/>
              <w:lang w:val="it-IT"/>
            </w:rPr>
          </w:pPr>
          <w:r w:rsidRPr="008E603D">
            <w:rPr>
              <w:b/>
              <w:sz w:val="24"/>
              <w:lang w:val="it-IT"/>
            </w:rPr>
            <w:t>B O R O U G H   O F  K E T T E R I N G</w:t>
          </w:r>
          <w:r>
            <w:rPr>
              <w:b/>
              <w:sz w:val="24"/>
              <w:lang w:val="it-IT"/>
            </w:rPr>
            <w:t xml:space="preserve">                                             </w:t>
          </w:r>
        </w:p>
      </w:tc>
    </w:tr>
    <w:tr w:rsidR="001D4DFB" w:rsidRPr="0082681A" w:rsidTr="00610B3B">
      <w:tc>
        <w:tcPr>
          <w:tcW w:w="1526"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spacing w:before="120"/>
            <w:rPr>
              <w:b/>
              <w:sz w:val="24"/>
            </w:rPr>
          </w:pPr>
        </w:p>
      </w:tc>
      <w:tc>
        <w:tcPr>
          <w:tcW w:w="5386"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spacing w:before="240"/>
            <w:rPr>
              <w:rFonts w:ascii="Arial Black" w:hAnsi="Arial Black"/>
              <w:sz w:val="24"/>
              <w:szCs w:val="24"/>
            </w:rPr>
          </w:pPr>
          <w:r>
            <w:rPr>
              <w:rFonts w:ascii="Arial Black" w:hAnsi="Arial Black"/>
              <w:sz w:val="24"/>
              <w:szCs w:val="24"/>
            </w:rPr>
            <w:t>NORTH NORTHAMPTONSHIRE</w:t>
          </w:r>
        </w:p>
        <w:p w:rsidR="001D4DFB" w:rsidRPr="003B409D" w:rsidRDefault="001D4DFB" w:rsidP="00610B3B">
          <w:pPr>
            <w:pStyle w:val="Header"/>
            <w:spacing w:before="120"/>
            <w:rPr>
              <w:rFonts w:ascii="Arial Black" w:hAnsi="Arial Black"/>
              <w:sz w:val="24"/>
            </w:rPr>
          </w:pPr>
          <w:r>
            <w:rPr>
              <w:rFonts w:ascii="Arial Black" w:hAnsi="Arial Black"/>
              <w:sz w:val="24"/>
              <w:szCs w:val="24"/>
            </w:rPr>
            <w:t>JOINT DELIVERY COMMITTEE</w:t>
          </w:r>
        </w:p>
        <w:p w:rsidR="001D4DFB" w:rsidRDefault="001D4DFB" w:rsidP="00610B3B">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jc w:val="center"/>
            <w:rPr>
              <w:sz w:val="24"/>
            </w:rPr>
          </w:pPr>
          <w:r>
            <w:rPr>
              <w:sz w:val="24"/>
            </w:rPr>
            <w:t xml:space="preserve">Item </w:t>
          </w:r>
        </w:p>
        <w:p w:rsidR="001D4DFB" w:rsidRDefault="001D4DFB" w:rsidP="00610B3B">
          <w:pPr>
            <w:pStyle w:val="Header"/>
            <w:jc w:val="center"/>
            <w:rPr>
              <w:sz w:val="24"/>
            </w:rPr>
          </w:pPr>
        </w:p>
        <w:p w:rsidR="001D4DFB" w:rsidRDefault="001F3A1D" w:rsidP="00610B3B">
          <w:pPr>
            <w:pStyle w:val="Header"/>
            <w:jc w:val="center"/>
            <w:rPr>
              <w:sz w:val="24"/>
            </w:rPr>
          </w:pPr>
          <w:r>
            <w:rPr>
              <w:sz w:val="24"/>
            </w:rPr>
            <w:t>4</w:t>
          </w:r>
        </w:p>
        <w:p w:rsidR="001D4DFB" w:rsidRDefault="001D4DFB" w:rsidP="00610B3B">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1D4DFB" w:rsidRPr="001D4DFB" w:rsidRDefault="001D4DFB" w:rsidP="00610B3B">
          <w:pPr>
            <w:pStyle w:val="Header"/>
            <w:ind w:right="-108"/>
            <w:jc w:val="center"/>
            <w:rPr>
              <w:snapToGrid w:val="0"/>
              <w:sz w:val="24"/>
              <w:szCs w:val="24"/>
            </w:rPr>
          </w:pPr>
          <w:r w:rsidRPr="001D4DFB">
            <w:rPr>
              <w:snapToGrid w:val="0"/>
              <w:sz w:val="24"/>
              <w:szCs w:val="24"/>
            </w:rPr>
            <w:t xml:space="preserve">Page </w:t>
          </w:r>
          <w:r w:rsidRPr="001D4DFB">
            <w:rPr>
              <w:snapToGrid w:val="0"/>
              <w:sz w:val="24"/>
              <w:szCs w:val="24"/>
            </w:rPr>
            <w:fldChar w:fldCharType="begin"/>
          </w:r>
          <w:r w:rsidRPr="001D4DFB">
            <w:rPr>
              <w:snapToGrid w:val="0"/>
              <w:sz w:val="24"/>
              <w:szCs w:val="24"/>
            </w:rPr>
            <w:instrText xml:space="preserve"> PAGE </w:instrText>
          </w:r>
          <w:r w:rsidRPr="001D4DFB">
            <w:rPr>
              <w:snapToGrid w:val="0"/>
              <w:sz w:val="24"/>
              <w:szCs w:val="24"/>
            </w:rPr>
            <w:fldChar w:fldCharType="separate"/>
          </w:r>
          <w:r w:rsidR="001F3A1D">
            <w:rPr>
              <w:noProof/>
              <w:snapToGrid w:val="0"/>
              <w:sz w:val="24"/>
              <w:szCs w:val="24"/>
            </w:rPr>
            <w:t>6</w:t>
          </w:r>
          <w:r w:rsidRPr="001D4DFB">
            <w:rPr>
              <w:snapToGrid w:val="0"/>
              <w:sz w:val="24"/>
              <w:szCs w:val="24"/>
            </w:rPr>
            <w:fldChar w:fldCharType="end"/>
          </w:r>
          <w:r w:rsidRPr="001D4DFB">
            <w:rPr>
              <w:snapToGrid w:val="0"/>
              <w:sz w:val="24"/>
              <w:szCs w:val="24"/>
            </w:rPr>
            <w:t xml:space="preserve"> </w:t>
          </w:r>
        </w:p>
      </w:tc>
    </w:tr>
  </w:tbl>
  <w:p w:rsidR="001D4DFB" w:rsidRDefault="001D4DFB" w:rsidP="001D4DFB">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34"/>
      <w:gridCol w:w="1809"/>
      <w:gridCol w:w="4395"/>
      <w:gridCol w:w="1559"/>
      <w:gridCol w:w="1383"/>
      <w:gridCol w:w="34"/>
    </w:tblGrid>
    <w:tr w:rsidR="001C74B7" w:rsidTr="001D4DFB">
      <w:trPr>
        <w:gridAfter w:val="1"/>
        <w:wAfter w:w="34" w:type="dxa"/>
        <w:cantSplit/>
      </w:trPr>
      <w:tc>
        <w:tcPr>
          <w:tcW w:w="9180" w:type="dxa"/>
          <w:gridSpan w:val="5"/>
        </w:tcPr>
        <w:p w:rsidR="001C74B7" w:rsidRDefault="001C74B7">
          <w:pPr>
            <w:pStyle w:val="Header"/>
            <w:jc w:val="center"/>
            <w:rPr>
              <w:b/>
              <w:sz w:val="24"/>
            </w:rPr>
          </w:pPr>
        </w:p>
      </w:tc>
    </w:tr>
    <w:tr w:rsidR="001D4DFB" w:rsidRPr="008E603D" w:rsidTr="001D4DFB">
      <w:trPr>
        <w:gridBefore w:val="1"/>
        <w:wBefore w:w="34" w:type="dxa"/>
        <w:cantSplit/>
      </w:trPr>
      <w:tc>
        <w:tcPr>
          <w:tcW w:w="9180" w:type="dxa"/>
          <w:gridSpan w:val="5"/>
        </w:tcPr>
        <w:p w:rsidR="001D4DFB" w:rsidRPr="008E603D" w:rsidRDefault="001D4DFB" w:rsidP="00610B3B">
          <w:pPr>
            <w:pStyle w:val="Header"/>
            <w:jc w:val="center"/>
            <w:rPr>
              <w:b/>
              <w:sz w:val="24"/>
              <w:lang w:val="it-IT"/>
            </w:rPr>
          </w:pPr>
        </w:p>
      </w:tc>
    </w:tr>
    <w:tr w:rsidR="001D4DFB" w:rsidTr="001D4DFB">
      <w:trPr>
        <w:gridBefore w:val="1"/>
        <w:wBefore w:w="34" w:type="dxa"/>
      </w:trPr>
      <w:tc>
        <w:tcPr>
          <w:tcW w:w="6204" w:type="dxa"/>
          <w:gridSpan w:val="2"/>
          <w:tcBorders>
            <w:top w:val="single" w:sz="4" w:space="0" w:color="auto"/>
            <w:left w:val="single" w:sz="4" w:space="0" w:color="auto"/>
            <w:bottom w:val="single" w:sz="4" w:space="0" w:color="auto"/>
            <w:right w:val="single" w:sz="4" w:space="0" w:color="auto"/>
          </w:tcBorders>
        </w:tcPr>
        <w:p w:rsidR="001D4DFB" w:rsidRDefault="001D4DFB" w:rsidP="00610B3B">
          <w:pPr>
            <w:pStyle w:val="Header"/>
            <w:spacing w:before="240"/>
            <w:rPr>
              <w:rFonts w:ascii="Arial Black" w:hAnsi="Arial Black"/>
              <w:sz w:val="24"/>
              <w:szCs w:val="24"/>
            </w:rPr>
          </w:pPr>
          <w:r>
            <w:rPr>
              <w:rFonts w:ascii="Arial Black" w:hAnsi="Arial Black"/>
              <w:sz w:val="24"/>
              <w:szCs w:val="24"/>
            </w:rPr>
            <w:t>NORTH NORTHAMPTONSHIRE</w:t>
          </w:r>
        </w:p>
        <w:p w:rsidR="001D4DFB" w:rsidRPr="00F73355" w:rsidRDefault="001D4DFB" w:rsidP="00610B3B">
          <w:pPr>
            <w:pStyle w:val="Header"/>
            <w:spacing w:after="240"/>
            <w:rPr>
              <w:rFonts w:ascii="Arial Black" w:hAnsi="Arial Black"/>
              <w:sz w:val="24"/>
              <w:szCs w:val="24"/>
            </w:rPr>
          </w:pPr>
          <w:r>
            <w:rPr>
              <w:rFonts w:ascii="Arial Black" w:hAnsi="Arial Black"/>
              <w:sz w:val="24"/>
              <w:szCs w:val="24"/>
            </w:rPr>
            <w:t>JOINT DELIVERY COMMITTEE</w:t>
          </w:r>
        </w:p>
      </w:tc>
      <w:tc>
        <w:tcPr>
          <w:tcW w:w="1559" w:type="dxa"/>
          <w:tcBorders>
            <w:top w:val="single" w:sz="4" w:space="0" w:color="auto"/>
            <w:left w:val="single" w:sz="4" w:space="0" w:color="auto"/>
            <w:bottom w:val="single" w:sz="4" w:space="0" w:color="auto"/>
            <w:right w:val="single" w:sz="4" w:space="0" w:color="auto"/>
          </w:tcBorders>
        </w:tcPr>
        <w:p w:rsidR="001D4DFB" w:rsidRPr="001474F1" w:rsidRDefault="001D4DFB" w:rsidP="00610B3B">
          <w:pPr>
            <w:pStyle w:val="Header"/>
            <w:jc w:val="center"/>
            <w:rPr>
              <w:sz w:val="24"/>
              <w:szCs w:val="24"/>
            </w:rPr>
          </w:pPr>
          <w:r w:rsidRPr="001474F1">
            <w:rPr>
              <w:sz w:val="24"/>
              <w:szCs w:val="24"/>
            </w:rPr>
            <w:t xml:space="preserve">Item </w:t>
          </w:r>
        </w:p>
        <w:p w:rsidR="001D4DFB" w:rsidRPr="001474F1" w:rsidRDefault="001D4DFB" w:rsidP="00610B3B">
          <w:pPr>
            <w:rPr>
              <w:sz w:val="24"/>
              <w:szCs w:val="24"/>
            </w:rPr>
          </w:pPr>
        </w:p>
        <w:p w:rsidR="001D4DFB" w:rsidRPr="001474F1" w:rsidRDefault="001F3A1D" w:rsidP="00610B3B">
          <w:pPr>
            <w:jc w:val="center"/>
          </w:pPr>
          <w:r>
            <w:rPr>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tcPr>
        <w:p w:rsidR="001D4DFB" w:rsidRDefault="001D4DFB" w:rsidP="00610B3B">
          <w:pPr>
            <w:pStyle w:val="Header"/>
            <w:jc w:val="center"/>
            <w:rPr>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1F3A1D">
            <w:rPr>
              <w:noProof/>
              <w:snapToGrid w:val="0"/>
              <w:sz w:val="24"/>
            </w:rPr>
            <w:t>1</w:t>
          </w:r>
          <w:r>
            <w:rPr>
              <w:snapToGrid w:val="0"/>
              <w:sz w:val="24"/>
            </w:rPr>
            <w:fldChar w:fldCharType="end"/>
          </w:r>
          <w:r>
            <w:rPr>
              <w:snapToGrid w:val="0"/>
              <w:sz w:val="24"/>
            </w:rPr>
            <w:t xml:space="preserve"> </w:t>
          </w:r>
        </w:p>
      </w:tc>
    </w:tr>
    <w:tr w:rsidR="001D4DFB" w:rsidTr="001D4DFB">
      <w:trPr>
        <w:gridBefore w:val="1"/>
        <w:wBefore w:w="34" w:type="dxa"/>
        <w:cantSplit/>
      </w:trPr>
      <w:tc>
        <w:tcPr>
          <w:tcW w:w="1809"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rPr>
              <w:b/>
              <w:sz w:val="24"/>
            </w:rPr>
          </w:pPr>
          <w:r>
            <w:rPr>
              <w:b/>
              <w:sz w:val="24"/>
            </w:rPr>
            <w:t>Councils Affected</w:t>
          </w:r>
        </w:p>
      </w:tc>
      <w:tc>
        <w:tcPr>
          <w:tcW w:w="4395"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rPr>
              <w:sz w:val="24"/>
            </w:rPr>
          </w:pPr>
          <w:r>
            <w:rPr>
              <w:sz w:val="24"/>
            </w:rPr>
            <w:t>All</w:t>
          </w:r>
        </w:p>
      </w:tc>
      <w:tc>
        <w:tcPr>
          <w:tcW w:w="2976" w:type="dxa"/>
          <w:gridSpan w:val="3"/>
          <w:tcBorders>
            <w:top w:val="single" w:sz="4" w:space="0" w:color="auto"/>
            <w:left w:val="single" w:sz="4" w:space="0" w:color="auto"/>
            <w:bottom w:val="single" w:sz="4" w:space="0" w:color="auto"/>
            <w:right w:val="single" w:sz="4" w:space="0" w:color="auto"/>
          </w:tcBorders>
        </w:tcPr>
        <w:p w:rsidR="001D4DFB" w:rsidRPr="002C668F" w:rsidRDefault="001D4DFB" w:rsidP="001D4DFB">
          <w:pPr>
            <w:pStyle w:val="Header"/>
            <w:rPr>
              <w:bCs/>
              <w:sz w:val="24"/>
            </w:rPr>
          </w:pPr>
          <w:r>
            <w:rPr>
              <w:bCs/>
              <w:sz w:val="24"/>
            </w:rPr>
            <w:t>Date: 22</w:t>
          </w:r>
          <w:r w:rsidRPr="001D4DFB">
            <w:rPr>
              <w:bCs/>
              <w:sz w:val="24"/>
              <w:vertAlign w:val="superscript"/>
            </w:rPr>
            <w:t>nd</w:t>
          </w:r>
          <w:r>
            <w:rPr>
              <w:bCs/>
              <w:sz w:val="24"/>
            </w:rPr>
            <w:t xml:space="preserve"> October 2015</w:t>
          </w:r>
        </w:p>
      </w:tc>
    </w:tr>
    <w:tr w:rsidR="001D4DFB" w:rsidTr="001D4DFB">
      <w:trPr>
        <w:gridBefore w:val="1"/>
        <w:wBefore w:w="34" w:type="dxa"/>
        <w:cantSplit/>
      </w:trPr>
      <w:tc>
        <w:tcPr>
          <w:tcW w:w="1809" w:type="dxa"/>
          <w:tcBorders>
            <w:top w:val="single" w:sz="4" w:space="0" w:color="auto"/>
            <w:left w:val="single" w:sz="4" w:space="0" w:color="auto"/>
            <w:bottom w:val="single" w:sz="4" w:space="0" w:color="auto"/>
            <w:right w:val="single" w:sz="4" w:space="0" w:color="auto"/>
          </w:tcBorders>
        </w:tcPr>
        <w:p w:rsidR="001D4DFB" w:rsidRDefault="001D4DFB" w:rsidP="00610B3B">
          <w:pPr>
            <w:pStyle w:val="Header"/>
            <w:rPr>
              <w:b/>
              <w:sz w:val="24"/>
            </w:rPr>
          </w:pPr>
          <w:r>
            <w:rPr>
              <w:b/>
              <w:sz w:val="24"/>
            </w:rPr>
            <w:t>Report Title</w:t>
          </w:r>
        </w:p>
        <w:p w:rsidR="001D4DFB" w:rsidRDefault="001D4DFB" w:rsidP="00610B3B">
          <w:pPr>
            <w:pStyle w:val="Header"/>
            <w:rPr>
              <w:b/>
              <w:sz w:val="24"/>
            </w:rPr>
          </w:pPr>
        </w:p>
      </w:tc>
      <w:tc>
        <w:tcPr>
          <w:tcW w:w="7371" w:type="dxa"/>
          <w:gridSpan w:val="4"/>
          <w:tcBorders>
            <w:top w:val="single" w:sz="4" w:space="0" w:color="auto"/>
            <w:left w:val="single" w:sz="4" w:space="0" w:color="auto"/>
            <w:bottom w:val="single" w:sz="4" w:space="0" w:color="auto"/>
            <w:right w:val="single" w:sz="4" w:space="0" w:color="auto"/>
          </w:tcBorders>
        </w:tcPr>
        <w:p w:rsidR="001D4DFB" w:rsidRPr="008770A8" w:rsidRDefault="001D4DFB" w:rsidP="00610B3B">
          <w:pPr>
            <w:rPr>
              <w:rFonts w:ascii="Arial Black" w:hAnsi="Arial Black"/>
              <w:b/>
              <w:sz w:val="24"/>
              <w:szCs w:val="24"/>
            </w:rPr>
          </w:pPr>
          <w:r>
            <w:rPr>
              <w:rFonts w:ascii="Arial Black" w:hAnsi="Arial Black"/>
              <w:b/>
              <w:bCs/>
              <w:sz w:val="24"/>
            </w:rPr>
            <w:t>GARDEN COMMUNITIES CAPACITY BID</w:t>
          </w:r>
        </w:p>
        <w:p w:rsidR="001D4DFB" w:rsidRPr="00F73355" w:rsidRDefault="001D4DFB" w:rsidP="00610B3B">
          <w:pPr>
            <w:pStyle w:val="Header"/>
            <w:rPr>
              <w:rFonts w:ascii="Arial Black" w:hAnsi="Arial Black"/>
              <w:bCs/>
              <w:sz w:val="24"/>
            </w:rPr>
          </w:pPr>
        </w:p>
      </w:tc>
    </w:tr>
  </w:tbl>
  <w:p w:rsidR="001D4DFB" w:rsidRDefault="001D4DFB" w:rsidP="001D4DFB">
    <w:pPr>
      <w:pStyle w:val="Header"/>
    </w:pPr>
  </w:p>
  <w:p w:rsidR="00EA79AA" w:rsidRDefault="00EA79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E75"/>
    <w:multiLevelType w:val="multilevel"/>
    <w:tmpl w:val="5DF630A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5D035AF"/>
    <w:multiLevelType w:val="hybridMultilevel"/>
    <w:tmpl w:val="22CA0154"/>
    <w:lvl w:ilvl="0" w:tplc="85A47AF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70C12BF"/>
    <w:multiLevelType w:val="hybridMultilevel"/>
    <w:tmpl w:val="960CE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6425A0"/>
    <w:multiLevelType w:val="hybridMultilevel"/>
    <w:tmpl w:val="4966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094E97"/>
    <w:multiLevelType w:val="multilevel"/>
    <w:tmpl w:val="172897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0B2F1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1355761"/>
    <w:multiLevelType w:val="hybridMultilevel"/>
    <w:tmpl w:val="F1F62CCC"/>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
    <w:nsid w:val="129218F8"/>
    <w:multiLevelType w:val="multilevel"/>
    <w:tmpl w:val="92DA5B56"/>
    <w:styleLink w:val="Style3"/>
    <w:lvl w:ilvl="0">
      <w:start w:val="1"/>
      <w:numFmt w:val="decimal"/>
      <w:lvlText w:val="%1.1"/>
      <w:lvlJc w:val="left"/>
      <w:pPr>
        <w:tabs>
          <w:tab w:val="num" w:pos="360"/>
        </w:tabs>
        <w:ind w:left="360" w:hanging="360"/>
      </w:pPr>
      <w:rPr>
        <w:rFonts w:hint="default"/>
        <w:sz w:val="24"/>
      </w:rPr>
    </w:lvl>
    <w:lvl w:ilvl="1">
      <w:start w:val="1"/>
      <w:numFmt w:val="decimal"/>
      <w:lvlText w:val="%1.1"/>
      <w:lvlJc w:val="left"/>
      <w:pPr>
        <w:tabs>
          <w:tab w:val="num" w:pos="720"/>
        </w:tabs>
        <w:ind w:left="720" w:hanging="360"/>
      </w:pPr>
      <w:rPr>
        <w:rFonts w:hint="default"/>
        <w:sz w:val="24"/>
      </w:rPr>
    </w:lvl>
    <w:lvl w:ilvl="2">
      <w:start w:val="1"/>
      <w:numFmt w:val="decimal"/>
      <w:lvlText w:val="%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8">
    <w:nsid w:val="15CB3931"/>
    <w:multiLevelType w:val="multilevel"/>
    <w:tmpl w:val="BEB48D0C"/>
    <w:lvl w:ilvl="0">
      <w:start w:val="2"/>
      <w:numFmt w:val="decimal"/>
      <w:lvlText w:val="%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9">
    <w:nsid w:val="16027DDA"/>
    <w:multiLevelType w:val="multilevel"/>
    <w:tmpl w:val="99980112"/>
    <w:styleLink w:val="CurrentList1"/>
    <w:lvl w:ilvl="0">
      <w:start w:val="1"/>
      <w:numFmt w:val="none"/>
      <w:lvlText w:val="1.2"/>
      <w:lvlJc w:val="left"/>
      <w:pPr>
        <w:tabs>
          <w:tab w:val="num" w:pos="1290"/>
        </w:tabs>
        <w:ind w:left="12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B171A2"/>
    <w:multiLevelType w:val="hybridMultilevel"/>
    <w:tmpl w:val="EE826F66"/>
    <w:lvl w:ilvl="0" w:tplc="75687E0E">
      <w:start w:val="1"/>
      <w:numFmt w:val="decimal"/>
      <w:lvlText w:val="5.%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367B4"/>
    <w:multiLevelType w:val="hybridMultilevel"/>
    <w:tmpl w:val="7CC87E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79251D"/>
    <w:multiLevelType w:val="multilevel"/>
    <w:tmpl w:val="044E61AC"/>
    <w:lvl w:ilvl="0">
      <w:start w:val="1"/>
      <w:numFmt w:val="decimal"/>
      <w:lvlText w:val="%1."/>
      <w:lvlJc w:val="left"/>
      <w:pPr>
        <w:tabs>
          <w:tab w:val="num" w:pos="360"/>
        </w:tabs>
        <w:ind w:left="360" w:hanging="360"/>
      </w:pPr>
      <w:rPr>
        <w:rFonts w:hint="default"/>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3">
    <w:nsid w:val="1B92545D"/>
    <w:multiLevelType w:val="hybridMultilevel"/>
    <w:tmpl w:val="1DDCFDC2"/>
    <w:lvl w:ilvl="0" w:tplc="1368C3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D6242E"/>
    <w:multiLevelType w:val="hybridMultilevel"/>
    <w:tmpl w:val="DFEE5FB4"/>
    <w:lvl w:ilvl="0" w:tplc="D45C7EB4">
      <w:start w:val="1"/>
      <w:numFmt w:val="bullet"/>
      <w:lvlText w:val=""/>
      <w:lvlJc w:val="left"/>
      <w:pPr>
        <w:tabs>
          <w:tab w:val="num" w:pos="720"/>
        </w:tabs>
        <w:ind w:left="720" w:hanging="360"/>
      </w:pPr>
      <w:rPr>
        <w:rFonts w:ascii="Symbol" w:hAnsi="Symbol" w:hint="default"/>
        <w:color w:val="7C2128"/>
        <w:sz w:val="24"/>
      </w:rPr>
    </w:lvl>
    <w:lvl w:ilvl="1" w:tplc="08090003">
      <w:start w:val="1"/>
      <w:numFmt w:val="bullet"/>
      <w:lvlText w:val="o"/>
      <w:lvlJc w:val="left"/>
      <w:pPr>
        <w:tabs>
          <w:tab w:val="num" w:pos="1440"/>
        </w:tabs>
        <w:ind w:left="1440" w:hanging="360"/>
      </w:pPr>
      <w:rPr>
        <w:rFonts w:ascii="Courier New" w:hAnsi="Courier New" w:hint="default"/>
      </w:rPr>
    </w:lvl>
    <w:lvl w:ilvl="2" w:tplc="F17A7556">
      <w:numFmt w:val="bullet"/>
      <w:lvlText w:val="–"/>
      <w:lvlJc w:val="left"/>
      <w:pPr>
        <w:tabs>
          <w:tab w:val="num" w:pos="2160"/>
        </w:tabs>
        <w:ind w:left="2160" w:hanging="360"/>
      </w:pPr>
      <w:rPr>
        <w:rFonts w:ascii="Arial" w:eastAsia="Times New Roman" w:hAnsi="Arial" w:cs="Arial" w:hint="default"/>
        <w:b w:val="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C4E1529"/>
    <w:multiLevelType w:val="multilevel"/>
    <w:tmpl w:val="CB8416C4"/>
    <w:lvl w:ilvl="0">
      <w:start w:val="1"/>
      <w:numFmt w:val="none"/>
      <w:lvlText w:val="2.1"/>
      <w:lvlJc w:val="left"/>
      <w:pPr>
        <w:tabs>
          <w:tab w:val="num" w:pos="360"/>
        </w:tabs>
        <w:ind w:left="360" w:hanging="360"/>
      </w:pPr>
      <w:rPr>
        <w:rFonts w:hint="default"/>
        <w:b w:val="0"/>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6">
    <w:nsid w:val="2102761D"/>
    <w:multiLevelType w:val="hybridMultilevel"/>
    <w:tmpl w:val="3126D790"/>
    <w:lvl w:ilvl="0" w:tplc="2DF096DE">
      <w:start w:val="1"/>
      <w:numFmt w:val="bullet"/>
      <w:lvlText w:val="•"/>
      <w:lvlJc w:val="left"/>
      <w:pPr>
        <w:tabs>
          <w:tab w:val="num" w:pos="720"/>
        </w:tabs>
        <w:ind w:left="720" w:hanging="360"/>
      </w:pPr>
      <w:rPr>
        <w:rFonts w:ascii="Arial" w:hAnsi="Arial" w:hint="default"/>
      </w:rPr>
    </w:lvl>
    <w:lvl w:ilvl="1" w:tplc="54D6F09A" w:tentative="1">
      <w:start w:val="1"/>
      <w:numFmt w:val="bullet"/>
      <w:lvlText w:val="•"/>
      <w:lvlJc w:val="left"/>
      <w:pPr>
        <w:tabs>
          <w:tab w:val="num" w:pos="1440"/>
        </w:tabs>
        <w:ind w:left="1440" w:hanging="360"/>
      </w:pPr>
      <w:rPr>
        <w:rFonts w:ascii="Arial" w:hAnsi="Arial" w:hint="default"/>
      </w:rPr>
    </w:lvl>
    <w:lvl w:ilvl="2" w:tplc="F51A7F40" w:tentative="1">
      <w:start w:val="1"/>
      <w:numFmt w:val="bullet"/>
      <w:lvlText w:val="•"/>
      <w:lvlJc w:val="left"/>
      <w:pPr>
        <w:tabs>
          <w:tab w:val="num" w:pos="2160"/>
        </w:tabs>
        <w:ind w:left="2160" w:hanging="360"/>
      </w:pPr>
      <w:rPr>
        <w:rFonts w:ascii="Arial" w:hAnsi="Arial" w:hint="default"/>
      </w:rPr>
    </w:lvl>
    <w:lvl w:ilvl="3" w:tplc="45E82EF4" w:tentative="1">
      <w:start w:val="1"/>
      <w:numFmt w:val="bullet"/>
      <w:lvlText w:val="•"/>
      <w:lvlJc w:val="left"/>
      <w:pPr>
        <w:tabs>
          <w:tab w:val="num" w:pos="2880"/>
        </w:tabs>
        <w:ind w:left="2880" w:hanging="360"/>
      </w:pPr>
      <w:rPr>
        <w:rFonts w:ascii="Arial" w:hAnsi="Arial" w:hint="default"/>
      </w:rPr>
    </w:lvl>
    <w:lvl w:ilvl="4" w:tplc="C4B04998" w:tentative="1">
      <w:start w:val="1"/>
      <w:numFmt w:val="bullet"/>
      <w:lvlText w:val="•"/>
      <w:lvlJc w:val="left"/>
      <w:pPr>
        <w:tabs>
          <w:tab w:val="num" w:pos="3600"/>
        </w:tabs>
        <w:ind w:left="3600" w:hanging="360"/>
      </w:pPr>
      <w:rPr>
        <w:rFonts w:ascii="Arial" w:hAnsi="Arial" w:hint="default"/>
      </w:rPr>
    </w:lvl>
    <w:lvl w:ilvl="5" w:tplc="99885D9E" w:tentative="1">
      <w:start w:val="1"/>
      <w:numFmt w:val="bullet"/>
      <w:lvlText w:val="•"/>
      <w:lvlJc w:val="left"/>
      <w:pPr>
        <w:tabs>
          <w:tab w:val="num" w:pos="4320"/>
        </w:tabs>
        <w:ind w:left="4320" w:hanging="360"/>
      </w:pPr>
      <w:rPr>
        <w:rFonts w:ascii="Arial" w:hAnsi="Arial" w:hint="default"/>
      </w:rPr>
    </w:lvl>
    <w:lvl w:ilvl="6" w:tplc="D8AE3EEC" w:tentative="1">
      <w:start w:val="1"/>
      <w:numFmt w:val="bullet"/>
      <w:lvlText w:val="•"/>
      <w:lvlJc w:val="left"/>
      <w:pPr>
        <w:tabs>
          <w:tab w:val="num" w:pos="5040"/>
        </w:tabs>
        <w:ind w:left="5040" w:hanging="360"/>
      </w:pPr>
      <w:rPr>
        <w:rFonts w:ascii="Arial" w:hAnsi="Arial" w:hint="default"/>
      </w:rPr>
    </w:lvl>
    <w:lvl w:ilvl="7" w:tplc="6922A56A" w:tentative="1">
      <w:start w:val="1"/>
      <w:numFmt w:val="bullet"/>
      <w:lvlText w:val="•"/>
      <w:lvlJc w:val="left"/>
      <w:pPr>
        <w:tabs>
          <w:tab w:val="num" w:pos="5760"/>
        </w:tabs>
        <w:ind w:left="5760" w:hanging="360"/>
      </w:pPr>
      <w:rPr>
        <w:rFonts w:ascii="Arial" w:hAnsi="Arial" w:hint="default"/>
      </w:rPr>
    </w:lvl>
    <w:lvl w:ilvl="8" w:tplc="60CAAB02" w:tentative="1">
      <w:start w:val="1"/>
      <w:numFmt w:val="bullet"/>
      <w:lvlText w:val="•"/>
      <w:lvlJc w:val="left"/>
      <w:pPr>
        <w:tabs>
          <w:tab w:val="num" w:pos="6480"/>
        </w:tabs>
        <w:ind w:left="6480" w:hanging="360"/>
      </w:pPr>
      <w:rPr>
        <w:rFonts w:ascii="Arial" w:hAnsi="Arial" w:hint="default"/>
      </w:rPr>
    </w:lvl>
  </w:abstractNum>
  <w:abstractNum w:abstractNumId="17">
    <w:nsid w:val="2F807559"/>
    <w:multiLevelType w:val="hybridMultilevel"/>
    <w:tmpl w:val="C34A9A92"/>
    <w:lvl w:ilvl="0" w:tplc="5F8E3BE8">
      <w:start w:val="3"/>
      <w:numFmt w:val="decimal"/>
      <w:lvlText w:val="%1."/>
      <w:lvlJc w:val="left"/>
      <w:pPr>
        <w:tabs>
          <w:tab w:val="num" w:pos="360"/>
        </w:tabs>
        <w:ind w:left="360" w:hanging="360"/>
      </w:pPr>
      <w:rPr>
        <w:rFonts w:hint="default"/>
        <w:b/>
        <w:i w:val="0"/>
      </w:rPr>
    </w:lvl>
    <w:lvl w:ilvl="1" w:tplc="1CD8D7AE">
      <w:start w:val="1"/>
      <w:numFmt w:val="decimal"/>
      <w:lvlText w:val="8.%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6D7B67"/>
    <w:multiLevelType w:val="hybridMultilevel"/>
    <w:tmpl w:val="97ECA0B4"/>
    <w:lvl w:ilvl="0" w:tplc="A904A3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AE4B30"/>
    <w:multiLevelType w:val="multilevel"/>
    <w:tmpl w:val="CB8416C4"/>
    <w:lvl w:ilvl="0">
      <w:start w:val="1"/>
      <w:numFmt w:val="none"/>
      <w:lvlText w:val="2.1"/>
      <w:lvlJc w:val="left"/>
      <w:pPr>
        <w:tabs>
          <w:tab w:val="num" w:pos="360"/>
        </w:tabs>
        <w:ind w:left="360" w:hanging="360"/>
      </w:pPr>
      <w:rPr>
        <w:rFonts w:hint="default"/>
        <w:b w:val="0"/>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20">
    <w:nsid w:val="314C77A8"/>
    <w:multiLevelType w:val="multilevel"/>
    <w:tmpl w:val="86A847C2"/>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1">
    <w:nsid w:val="33BB5DA2"/>
    <w:multiLevelType w:val="hybridMultilevel"/>
    <w:tmpl w:val="AC9C6A48"/>
    <w:lvl w:ilvl="0" w:tplc="022CA11E">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nsid w:val="3AB20748"/>
    <w:multiLevelType w:val="multilevel"/>
    <w:tmpl w:val="F182D0D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2F5AC5"/>
    <w:multiLevelType w:val="hybridMultilevel"/>
    <w:tmpl w:val="04FC9B96"/>
    <w:lvl w:ilvl="0" w:tplc="6FAEF4E4">
      <w:start w:val="1"/>
      <w:numFmt w:val="decimal"/>
      <w:lvlText w:val="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574A5B"/>
    <w:multiLevelType w:val="multilevel"/>
    <w:tmpl w:val="5420E5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i w:val="0"/>
        <w:iCs/>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47E5DBE"/>
    <w:multiLevelType w:val="hybridMultilevel"/>
    <w:tmpl w:val="CF381B36"/>
    <w:lvl w:ilvl="0" w:tplc="FD843F06">
      <w:start w:val="1"/>
      <w:numFmt w:val="decimal"/>
      <w:lvlText w:val="%1."/>
      <w:lvlJc w:val="left"/>
      <w:pPr>
        <w:tabs>
          <w:tab w:val="num" w:pos="930"/>
        </w:tabs>
        <w:ind w:left="930" w:hanging="570"/>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5DC409D"/>
    <w:multiLevelType w:val="hybridMultilevel"/>
    <w:tmpl w:val="305CC090"/>
    <w:lvl w:ilvl="0" w:tplc="14960836">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F63384"/>
    <w:multiLevelType w:val="hybridMultilevel"/>
    <w:tmpl w:val="5F20BC84"/>
    <w:lvl w:ilvl="0" w:tplc="6AE44936">
      <w:start w:val="1"/>
      <w:numFmt w:val="decimal"/>
      <w:lvlText w:val="6.%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C35F4B"/>
    <w:multiLevelType w:val="hybridMultilevel"/>
    <w:tmpl w:val="FC8A0664"/>
    <w:lvl w:ilvl="0" w:tplc="6F7672FC">
      <w:start w:val="1"/>
      <w:numFmt w:val="decimal"/>
      <w:lvlText w:val="1.%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E86BDA"/>
    <w:multiLevelType w:val="hybridMultilevel"/>
    <w:tmpl w:val="448C0946"/>
    <w:lvl w:ilvl="0" w:tplc="01C4FA44">
      <w:start w:val="1"/>
      <w:numFmt w:val="lowerLetter"/>
      <w:lvlText w:val="%1)"/>
      <w:lvlJc w:val="left"/>
      <w:pPr>
        <w:tabs>
          <w:tab w:val="num" w:pos="1287"/>
        </w:tabs>
        <w:ind w:left="1287" w:hanging="360"/>
      </w:pPr>
      <w:rPr>
        <w:color w:val="auto"/>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5D2D5752"/>
    <w:multiLevelType w:val="multilevel"/>
    <w:tmpl w:val="9F32B5EA"/>
    <w:styleLink w:val="Style1"/>
    <w:lvl w:ilvl="0">
      <w:start w:val="1"/>
      <w:numFmt w:val="none"/>
      <w:lvlText w:val="1.1"/>
      <w:lvlJc w:val="left"/>
      <w:pPr>
        <w:tabs>
          <w:tab w:val="num" w:pos="360"/>
        </w:tabs>
        <w:ind w:left="360" w:hanging="360"/>
      </w:pPr>
      <w:rPr>
        <w:rFonts w:hint="default"/>
        <w:sz w:val="24"/>
      </w:rPr>
    </w:lvl>
    <w:lvl w:ilvl="1">
      <w:start w:val="6"/>
      <w:numFmt w:val="decimal"/>
      <w:lvlText w:val="%1.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3"/>
      <w:lvlJc w:val="left"/>
      <w:pPr>
        <w:tabs>
          <w:tab w:val="num" w:pos="1800"/>
        </w:tabs>
        <w:ind w:left="1800" w:hanging="720"/>
      </w:pPr>
      <w:rPr>
        <w:rFonts w:hint="default"/>
      </w:rPr>
    </w:lvl>
    <w:lvl w:ilvl="4">
      <w:start w:val="1"/>
      <w:numFmt w:val="decimal"/>
      <w:lvlText w:val="%1.4"/>
      <w:lvlJc w:val="left"/>
      <w:pPr>
        <w:tabs>
          <w:tab w:val="num" w:pos="2520"/>
        </w:tabs>
        <w:ind w:left="2520" w:hanging="1080"/>
      </w:pPr>
      <w:rPr>
        <w:rFonts w:hint="default"/>
      </w:rPr>
    </w:lvl>
    <w:lvl w:ilvl="5">
      <w:start w:val="1"/>
      <w:numFmt w:val="decimal"/>
      <w:lvlText w:val="%1.5"/>
      <w:lvlJc w:val="left"/>
      <w:pPr>
        <w:tabs>
          <w:tab w:val="num" w:pos="2880"/>
        </w:tabs>
        <w:ind w:left="2880" w:hanging="1080"/>
      </w:pPr>
      <w:rPr>
        <w:rFonts w:hint="default"/>
      </w:rPr>
    </w:lvl>
    <w:lvl w:ilvl="6">
      <w:start w:val="1"/>
      <w:numFmt w:val="decimal"/>
      <w:lvlText w:val="%1.%2"/>
      <w:lvlJc w:val="left"/>
      <w:pPr>
        <w:tabs>
          <w:tab w:val="num" w:pos="3600"/>
        </w:tabs>
        <w:ind w:left="3600" w:hanging="1440"/>
      </w:pPr>
      <w:rPr>
        <w:rFonts w:hint="default"/>
      </w:rPr>
    </w:lvl>
    <w:lvl w:ilvl="7">
      <w:start w:val="1"/>
      <w:numFmt w:val="decimal"/>
      <w:lvlText w:val="%1.7"/>
      <w:lvlJc w:val="left"/>
      <w:pPr>
        <w:tabs>
          <w:tab w:val="num" w:pos="3960"/>
        </w:tabs>
        <w:ind w:left="3960" w:hanging="1440"/>
      </w:pPr>
      <w:rPr>
        <w:rFonts w:hint="default"/>
      </w:rPr>
    </w:lvl>
    <w:lvl w:ilvl="8">
      <w:start w:val="1"/>
      <w:numFmt w:val="decimal"/>
      <w:lvlText w:val="%1.8"/>
      <w:lvlJc w:val="left"/>
      <w:pPr>
        <w:tabs>
          <w:tab w:val="num" w:pos="4680"/>
        </w:tabs>
        <w:ind w:left="4680" w:hanging="1800"/>
      </w:pPr>
      <w:rPr>
        <w:rFonts w:hint="default"/>
      </w:rPr>
    </w:lvl>
  </w:abstractNum>
  <w:abstractNum w:abstractNumId="31">
    <w:nsid w:val="5F8706A2"/>
    <w:multiLevelType w:val="hybridMultilevel"/>
    <w:tmpl w:val="7394889E"/>
    <w:lvl w:ilvl="0" w:tplc="08090017">
      <w:start w:val="1"/>
      <w:numFmt w:val="lowerLetter"/>
      <w:lvlText w:val="%1)"/>
      <w:lvlJc w:val="left"/>
      <w:pPr>
        <w:tabs>
          <w:tab w:val="num" w:pos="1287"/>
        </w:tabs>
        <w:ind w:left="1287" w:hanging="360"/>
      </w:pPr>
      <w:rPr>
        <w:rFonts w:hint="default"/>
        <w:color w:val="7C2128"/>
        <w:sz w:val="24"/>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nsid w:val="617F7F74"/>
    <w:multiLevelType w:val="hybridMultilevel"/>
    <w:tmpl w:val="545A6652"/>
    <w:lvl w:ilvl="0" w:tplc="5FAE27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B530DE"/>
    <w:multiLevelType w:val="hybridMultilevel"/>
    <w:tmpl w:val="F67EEDD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4">
    <w:nsid w:val="61B82661"/>
    <w:multiLevelType w:val="multilevel"/>
    <w:tmpl w:val="36D8631E"/>
    <w:lvl w:ilvl="0">
      <w:start w:val="1"/>
      <w:numFmt w:val="none"/>
      <w:lvlText w:val="2.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35">
    <w:nsid w:val="62837733"/>
    <w:multiLevelType w:val="hybridMultilevel"/>
    <w:tmpl w:val="59581FCE"/>
    <w:lvl w:ilvl="0" w:tplc="08090017">
      <w:start w:val="1"/>
      <w:numFmt w:val="lowerLetter"/>
      <w:lvlText w:val="%1)"/>
      <w:lvlJc w:val="left"/>
      <w:pPr>
        <w:tabs>
          <w:tab w:val="num" w:pos="1287"/>
        </w:tabs>
        <w:ind w:left="1287" w:hanging="360"/>
      </w:pPr>
      <w:rPr>
        <w:rFonts w:hint="default"/>
        <w:color w:val="7C2128"/>
        <w:sz w:val="24"/>
      </w:rPr>
    </w:lvl>
    <w:lvl w:ilvl="1" w:tplc="0809001B">
      <w:start w:val="1"/>
      <w:numFmt w:val="lowerRoman"/>
      <w:lvlText w:val="%2."/>
      <w:lvlJc w:val="righ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nsid w:val="651E7ED3"/>
    <w:multiLevelType w:val="hybridMultilevel"/>
    <w:tmpl w:val="51D244E6"/>
    <w:lvl w:ilvl="0" w:tplc="797E4FF0">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76567FB"/>
    <w:multiLevelType w:val="hybridMultilevel"/>
    <w:tmpl w:val="73003864"/>
    <w:lvl w:ilvl="0" w:tplc="C5A86E92">
      <w:numFmt w:val="bullet"/>
      <w:lvlText w:val=""/>
      <w:lvlJc w:val="left"/>
      <w:pPr>
        <w:ind w:left="1444" w:hanging="735"/>
      </w:pPr>
      <w:rPr>
        <w:rFonts w:ascii="Symbol" w:eastAsiaTheme="minorHAnsi" w:hAnsi="Symbol"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nsid w:val="678470D4"/>
    <w:multiLevelType w:val="hybridMultilevel"/>
    <w:tmpl w:val="1B20F254"/>
    <w:lvl w:ilvl="0" w:tplc="A2BED77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B375991"/>
    <w:multiLevelType w:val="multilevel"/>
    <w:tmpl w:val="F45636EE"/>
    <w:lvl w:ilvl="0">
      <w:start w:val="3"/>
      <w:numFmt w:val="decimal"/>
      <w:lvlText w:val="%1."/>
      <w:lvlJc w:val="left"/>
      <w:pPr>
        <w:tabs>
          <w:tab w:val="num" w:pos="750"/>
        </w:tabs>
        <w:ind w:left="750" w:hanging="750"/>
      </w:pPr>
      <w:rPr>
        <w:rFonts w:hint="default"/>
        <w:b/>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C0A7999"/>
    <w:multiLevelType w:val="singleLevel"/>
    <w:tmpl w:val="A5D0B71A"/>
    <w:lvl w:ilvl="0">
      <w:start w:val="1"/>
      <w:numFmt w:val="decimal"/>
      <w:lvlText w:val="1.%1"/>
      <w:lvlJc w:val="left"/>
      <w:pPr>
        <w:tabs>
          <w:tab w:val="num" w:pos="502"/>
        </w:tabs>
        <w:ind w:left="502" w:hanging="360"/>
      </w:pPr>
      <w:rPr>
        <w:rFonts w:hint="default"/>
        <w:b w:val="0"/>
        <w:sz w:val="24"/>
      </w:rPr>
    </w:lvl>
  </w:abstractNum>
  <w:abstractNum w:abstractNumId="41">
    <w:nsid w:val="6DD565A6"/>
    <w:multiLevelType w:val="multilevel"/>
    <w:tmpl w:val="83B05C9E"/>
    <w:lvl w:ilvl="0">
      <w:start w:val="1"/>
      <w:numFmt w:val="decimal"/>
      <w:lvlText w:val="2.%1"/>
      <w:lvlJc w:val="left"/>
      <w:pPr>
        <w:tabs>
          <w:tab w:val="num" w:pos="360"/>
        </w:tabs>
        <w:ind w:left="360" w:hanging="360"/>
      </w:pPr>
      <w:rPr>
        <w:rFonts w:hint="default"/>
        <w:b w:val="0"/>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42">
    <w:nsid w:val="71301D2B"/>
    <w:multiLevelType w:val="hybridMultilevel"/>
    <w:tmpl w:val="457403D6"/>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abstractNum w:abstractNumId="43">
    <w:nsid w:val="745656F2"/>
    <w:multiLevelType w:val="hybridMultilevel"/>
    <w:tmpl w:val="862E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B73192"/>
    <w:multiLevelType w:val="hybridMultilevel"/>
    <w:tmpl w:val="E7B22E38"/>
    <w:lvl w:ilvl="0" w:tplc="C4E89E42">
      <w:start w:val="1"/>
      <w:numFmt w:val="decimal"/>
      <w:lvlText w:val="7.%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9D6091"/>
    <w:multiLevelType w:val="hybridMultilevel"/>
    <w:tmpl w:val="DE14251E"/>
    <w:lvl w:ilvl="0" w:tplc="6B146400">
      <w:start w:val="1"/>
      <w:numFmt w:val="bullet"/>
      <w:lvlText w:val="•"/>
      <w:lvlJc w:val="left"/>
      <w:pPr>
        <w:tabs>
          <w:tab w:val="num" w:pos="720"/>
        </w:tabs>
        <w:ind w:left="720" w:hanging="360"/>
      </w:pPr>
      <w:rPr>
        <w:rFonts w:ascii="Arial" w:hAnsi="Arial" w:hint="default"/>
      </w:rPr>
    </w:lvl>
    <w:lvl w:ilvl="1" w:tplc="DC3EF838" w:tentative="1">
      <w:start w:val="1"/>
      <w:numFmt w:val="bullet"/>
      <w:lvlText w:val="•"/>
      <w:lvlJc w:val="left"/>
      <w:pPr>
        <w:tabs>
          <w:tab w:val="num" w:pos="1440"/>
        </w:tabs>
        <w:ind w:left="1440" w:hanging="360"/>
      </w:pPr>
      <w:rPr>
        <w:rFonts w:ascii="Arial" w:hAnsi="Arial" w:hint="default"/>
      </w:rPr>
    </w:lvl>
    <w:lvl w:ilvl="2" w:tplc="2DCA04BA" w:tentative="1">
      <w:start w:val="1"/>
      <w:numFmt w:val="bullet"/>
      <w:lvlText w:val="•"/>
      <w:lvlJc w:val="left"/>
      <w:pPr>
        <w:tabs>
          <w:tab w:val="num" w:pos="2160"/>
        </w:tabs>
        <w:ind w:left="2160" w:hanging="360"/>
      </w:pPr>
      <w:rPr>
        <w:rFonts w:ascii="Arial" w:hAnsi="Arial" w:hint="default"/>
      </w:rPr>
    </w:lvl>
    <w:lvl w:ilvl="3" w:tplc="B1162B8A" w:tentative="1">
      <w:start w:val="1"/>
      <w:numFmt w:val="bullet"/>
      <w:lvlText w:val="•"/>
      <w:lvlJc w:val="left"/>
      <w:pPr>
        <w:tabs>
          <w:tab w:val="num" w:pos="2880"/>
        </w:tabs>
        <w:ind w:left="2880" w:hanging="360"/>
      </w:pPr>
      <w:rPr>
        <w:rFonts w:ascii="Arial" w:hAnsi="Arial" w:hint="default"/>
      </w:rPr>
    </w:lvl>
    <w:lvl w:ilvl="4" w:tplc="D0DAE4AC" w:tentative="1">
      <w:start w:val="1"/>
      <w:numFmt w:val="bullet"/>
      <w:lvlText w:val="•"/>
      <w:lvlJc w:val="left"/>
      <w:pPr>
        <w:tabs>
          <w:tab w:val="num" w:pos="3600"/>
        </w:tabs>
        <w:ind w:left="3600" w:hanging="360"/>
      </w:pPr>
      <w:rPr>
        <w:rFonts w:ascii="Arial" w:hAnsi="Arial" w:hint="default"/>
      </w:rPr>
    </w:lvl>
    <w:lvl w:ilvl="5" w:tplc="57224674" w:tentative="1">
      <w:start w:val="1"/>
      <w:numFmt w:val="bullet"/>
      <w:lvlText w:val="•"/>
      <w:lvlJc w:val="left"/>
      <w:pPr>
        <w:tabs>
          <w:tab w:val="num" w:pos="4320"/>
        </w:tabs>
        <w:ind w:left="4320" w:hanging="360"/>
      </w:pPr>
      <w:rPr>
        <w:rFonts w:ascii="Arial" w:hAnsi="Arial" w:hint="default"/>
      </w:rPr>
    </w:lvl>
    <w:lvl w:ilvl="6" w:tplc="3A623FF0" w:tentative="1">
      <w:start w:val="1"/>
      <w:numFmt w:val="bullet"/>
      <w:lvlText w:val="•"/>
      <w:lvlJc w:val="left"/>
      <w:pPr>
        <w:tabs>
          <w:tab w:val="num" w:pos="5040"/>
        </w:tabs>
        <w:ind w:left="5040" w:hanging="360"/>
      </w:pPr>
      <w:rPr>
        <w:rFonts w:ascii="Arial" w:hAnsi="Arial" w:hint="default"/>
      </w:rPr>
    </w:lvl>
    <w:lvl w:ilvl="7" w:tplc="6262B66E" w:tentative="1">
      <w:start w:val="1"/>
      <w:numFmt w:val="bullet"/>
      <w:lvlText w:val="•"/>
      <w:lvlJc w:val="left"/>
      <w:pPr>
        <w:tabs>
          <w:tab w:val="num" w:pos="5760"/>
        </w:tabs>
        <w:ind w:left="5760" w:hanging="360"/>
      </w:pPr>
      <w:rPr>
        <w:rFonts w:ascii="Arial" w:hAnsi="Arial" w:hint="default"/>
      </w:rPr>
    </w:lvl>
    <w:lvl w:ilvl="8" w:tplc="09708E94" w:tentative="1">
      <w:start w:val="1"/>
      <w:numFmt w:val="bullet"/>
      <w:lvlText w:val="•"/>
      <w:lvlJc w:val="left"/>
      <w:pPr>
        <w:tabs>
          <w:tab w:val="num" w:pos="6480"/>
        </w:tabs>
        <w:ind w:left="6480" w:hanging="360"/>
      </w:pPr>
      <w:rPr>
        <w:rFonts w:ascii="Arial" w:hAnsi="Arial" w:hint="default"/>
      </w:rPr>
    </w:lvl>
  </w:abstractNum>
  <w:abstractNum w:abstractNumId="46">
    <w:nsid w:val="7B4A0CA1"/>
    <w:multiLevelType w:val="hybridMultilevel"/>
    <w:tmpl w:val="7394889E"/>
    <w:lvl w:ilvl="0" w:tplc="08090017">
      <w:start w:val="1"/>
      <w:numFmt w:val="lowerLetter"/>
      <w:lvlText w:val="%1)"/>
      <w:lvlJc w:val="left"/>
      <w:pPr>
        <w:tabs>
          <w:tab w:val="num" w:pos="1287"/>
        </w:tabs>
        <w:ind w:left="1287" w:hanging="360"/>
      </w:pPr>
      <w:rPr>
        <w:rFonts w:hint="default"/>
        <w:color w:val="7C2128"/>
        <w:sz w:val="24"/>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7">
    <w:nsid w:val="7C1E6197"/>
    <w:multiLevelType w:val="multilevel"/>
    <w:tmpl w:val="06D6C346"/>
    <w:styleLink w:val="Style2"/>
    <w:lvl w:ilvl="0">
      <w:start w:val="1"/>
      <w:numFmt w:val="none"/>
      <w:lvlText w:val="%11.1"/>
      <w:lvlJc w:val="left"/>
      <w:pPr>
        <w:tabs>
          <w:tab w:val="num" w:pos="720"/>
        </w:tabs>
        <w:ind w:left="720" w:hanging="360"/>
      </w:pPr>
      <w:rPr>
        <w:rFonts w:hint="default"/>
        <w:sz w:val="24"/>
      </w:rPr>
    </w:lvl>
    <w:lvl w:ilvl="1">
      <w:start w:val="1"/>
      <w:numFmt w:val="decimal"/>
      <w:lvlText w:val="%1.1"/>
      <w:lvlJc w:val="left"/>
      <w:pPr>
        <w:tabs>
          <w:tab w:val="num" w:pos="1080"/>
        </w:tabs>
        <w:ind w:left="1080" w:hanging="360"/>
      </w:pPr>
      <w:rPr>
        <w:rFonts w:hint="default"/>
        <w:sz w:val="24"/>
      </w:rPr>
    </w:lvl>
    <w:lvl w:ilvl="2">
      <w:start w:val="1"/>
      <w:numFmt w:val="decimal"/>
      <w:lvlText w:val="%1.2"/>
      <w:lvlJc w:val="left"/>
      <w:pPr>
        <w:tabs>
          <w:tab w:val="num" w:pos="1800"/>
        </w:tabs>
        <w:ind w:left="1440" w:hanging="720"/>
      </w:pPr>
      <w:rPr>
        <w:rFonts w:hint="default"/>
      </w:rPr>
    </w:lvl>
    <w:lvl w:ilvl="3">
      <w:start w:val="1"/>
      <w:numFmt w:val="decimal"/>
      <w:lvlText w:val="%1.3"/>
      <w:lvlJc w:val="left"/>
      <w:pPr>
        <w:tabs>
          <w:tab w:val="num" w:pos="2160"/>
        </w:tabs>
        <w:ind w:left="1440" w:hanging="720"/>
      </w:pPr>
      <w:rPr>
        <w:rFonts w:hint="default"/>
      </w:rPr>
    </w:lvl>
    <w:lvl w:ilvl="4">
      <w:start w:val="1"/>
      <w:numFmt w:val="decimal"/>
      <w:lvlText w:val="%1.4"/>
      <w:lvlJc w:val="left"/>
      <w:pPr>
        <w:tabs>
          <w:tab w:val="num" w:pos="2880"/>
        </w:tabs>
        <w:ind w:left="1800" w:hanging="1080"/>
      </w:pPr>
      <w:rPr>
        <w:rFonts w:hint="default"/>
      </w:rPr>
    </w:lvl>
    <w:lvl w:ilvl="5">
      <w:start w:val="1"/>
      <w:numFmt w:val="decimal"/>
      <w:lvlText w:val="%1.5"/>
      <w:lvlJc w:val="left"/>
      <w:pPr>
        <w:tabs>
          <w:tab w:val="num" w:pos="3240"/>
        </w:tabs>
        <w:ind w:left="1800" w:hanging="1080"/>
      </w:pPr>
      <w:rPr>
        <w:rFonts w:hint="default"/>
      </w:rPr>
    </w:lvl>
    <w:lvl w:ilvl="6">
      <w:start w:val="1"/>
      <w:numFmt w:val="decimal"/>
      <w:lvlText w:val="%1.%2"/>
      <w:lvlJc w:val="left"/>
      <w:pPr>
        <w:tabs>
          <w:tab w:val="num" w:pos="3960"/>
        </w:tabs>
        <w:ind w:left="2160" w:hanging="1440"/>
      </w:pPr>
      <w:rPr>
        <w:rFonts w:hint="default"/>
      </w:rPr>
    </w:lvl>
    <w:lvl w:ilvl="7">
      <w:start w:val="1"/>
      <w:numFmt w:val="decimal"/>
      <w:lvlText w:val="%1.7"/>
      <w:lvlJc w:val="left"/>
      <w:pPr>
        <w:tabs>
          <w:tab w:val="num" w:pos="4320"/>
        </w:tabs>
        <w:ind w:left="2160" w:hanging="1440"/>
      </w:pPr>
      <w:rPr>
        <w:rFonts w:hint="default"/>
      </w:rPr>
    </w:lvl>
    <w:lvl w:ilvl="8">
      <w:start w:val="1"/>
      <w:numFmt w:val="decimal"/>
      <w:lvlText w:val="%1.8"/>
      <w:lvlJc w:val="left"/>
      <w:pPr>
        <w:tabs>
          <w:tab w:val="num" w:pos="5040"/>
        </w:tabs>
        <w:ind w:left="2520" w:hanging="1800"/>
      </w:pPr>
      <w:rPr>
        <w:rFonts w:hint="default"/>
      </w:rPr>
    </w:lvl>
  </w:abstractNum>
  <w:abstractNum w:abstractNumId="48">
    <w:nsid w:val="7E1A6F8D"/>
    <w:multiLevelType w:val="multilevel"/>
    <w:tmpl w:val="305CC090"/>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0"/>
  </w:num>
  <w:num w:numId="3">
    <w:abstractNumId w:val="47"/>
  </w:num>
  <w:num w:numId="4">
    <w:abstractNumId w:val="7"/>
  </w:num>
  <w:num w:numId="5">
    <w:abstractNumId w:val="8"/>
  </w:num>
  <w:num w:numId="6">
    <w:abstractNumId w:val="12"/>
  </w:num>
  <w:num w:numId="7">
    <w:abstractNumId w:val="40"/>
  </w:num>
  <w:num w:numId="8">
    <w:abstractNumId w:val="5"/>
  </w:num>
  <w:num w:numId="9">
    <w:abstractNumId w:val="36"/>
  </w:num>
  <w:num w:numId="10">
    <w:abstractNumId w:val="26"/>
  </w:num>
  <w:num w:numId="11">
    <w:abstractNumId w:val="23"/>
  </w:num>
  <w:num w:numId="12">
    <w:abstractNumId w:val="10"/>
  </w:num>
  <w:num w:numId="13">
    <w:abstractNumId w:val="27"/>
  </w:num>
  <w:num w:numId="14">
    <w:abstractNumId w:val="44"/>
  </w:num>
  <w:num w:numId="15">
    <w:abstractNumId w:val="17"/>
  </w:num>
  <w:num w:numId="16">
    <w:abstractNumId w:val="28"/>
  </w:num>
  <w:num w:numId="17">
    <w:abstractNumId w:val="41"/>
  </w:num>
  <w:num w:numId="18">
    <w:abstractNumId w:val="34"/>
  </w:num>
  <w:num w:numId="19">
    <w:abstractNumId w:val="15"/>
  </w:num>
  <w:num w:numId="20">
    <w:abstractNumId w:val="48"/>
  </w:num>
  <w:num w:numId="21">
    <w:abstractNumId w:val="19"/>
  </w:num>
  <w:num w:numId="22">
    <w:abstractNumId w:val="42"/>
  </w:num>
  <w:num w:numId="23">
    <w:abstractNumId w:val="11"/>
  </w:num>
  <w:num w:numId="24">
    <w:abstractNumId w:val="14"/>
  </w:num>
  <w:num w:numId="25">
    <w:abstractNumId w:val="4"/>
  </w:num>
  <w:num w:numId="26">
    <w:abstractNumId w:val="24"/>
  </w:num>
  <w:num w:numId="27">
    <w:abstractNumId w:val="31"/>
  </w:num>
  <w:num w:numId="28">
    <w:abstractNumId w:val="29"/>
  </w:num>
  <w:num w:numId="29">
    <w:abstractNumId w:val="0"/>
  </w:num>
  <w:num w:numId="30">
    <w:abstractNumId w:val="39"/>
  </w:num>
  <w:num w:numId="31">
    <w:abstractNumId w:val="25"/>
  </w:num>
  <w:num w:numId="32">
    <w:abstractNumId w:val="13"/>
  </w:num>
  <w:num w:numId="33">
    <w:abstractNumId w:val="6"/>
  </w:num>
  <w:num w:numId="34">
    <w:abstractNumId w:val="3"/>
  </w:num>
  <w:num w:numId="35">
    <w:abstractNumId w:val="43"/>
  </w:num>
  <w:num w:numId="36">
    <w:abstractNumId w:val="18"/>
  </w:num>
  <w:num w:numId="37">
    <w:abstractNumId w:val="16"/>
  </w:num>
  <w:num w:numId="38">
    <w:abstractNumId w:val="45"/>
  </w:num>
  <w:num w:numId="39">
    <w:abstractNumId w:val="35"/>
  </w:num>
  <w:num w:numId="40">
    <w:abstractNumId w:val="33"/>
  </w:num>
  <w:num w:numId="41">
    <w:abstractNumId w:val="2"/>
  </w:num>
  <w:num w:numId="42">
    <w:abstractNumId w:val="38"/>
  </w:num>
  <w:num w:numId="43">
    <w:abstractNumId w:val="21"/>
  </w:num>
  <w:num w:numId="44">
    <w:abstractNumId w:val="1"/>
  </w:num>
  <w:num w:numId="45">
    <w:abstractNumId w:val="46"/>
  </w:num>
  <w:num w:numId="46">
    <w:abstractNumId w:val="32"/>
  </w:num>
  <w:num w:numId="47">
    <w:abstractNumId w:val="37"/>
  </w:num>
  <w:num w:numId="48">
    <w:abstractNumId w:val="22"/>
  </w:num>
  <w:num w:numId="4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9D"/>
    <w:rsid w:val="0000553E"/>
    <w:rsid w:val="00023E1F"/>
    <w:rsid w:val="00051298"/>
    <w:rsid w:val="00072171"/>
    <w:rsid w:val="000727D0"/>
    <w:rsid w:val="0008744F"/>
    <w:rsid w:val="000977E0"/>
    <w:rsid w:val="000A382C"/>
    <w:rsid w:val="000A3ED8"/>
    <w:rsid w:val="00123DEF"/>
    <w:rsid w:val="001459A0"/>
    <w:rsid w:val="001B13D1"/>
    <w:rsid w:val="001B1A63"/>
    <w:rsid w:val="001B5CD5"/>
    <w:rsid w:val="001C74B7"/>
    <w:rsid w:val="001D4DFB"/>
    <w:rsid w:val="001F0256"/>
    <w:rsid w:val="001F3A1D"/>
    <w:rsid w:val="002056DB"/>
    <w:rsid w:val="00222311"/>
    <w:rsid w:val="00245F23"/>
    <w:rsid w:val="0026764D"/>
    <w:rsid w:val="002B1565"/>
    <w:rsid w:val="002D4F16"/>
    <w:rsid w:val="002E290E"/>
    <w:rsid w:val="00371FA5"/>
    <w:rsid w:val="003761A2"/>
    <w:rsid w:val="003D0C4B"/>
    <w:rsid w:val="003D4BB3"/>
    <w:rsid w:val="00436D68"/>
    <w:rsid w:val="00465AB7"/>
    <w:rsid w:val="004B11AC"/>
    <w:rsid w:val="004B68A2"/>
    <w:rsid w:val="004D0471"/>
    <w:rsid w:val="004D370A"/>
    <w:rsid w:val="004E4419"/>
    <w:rsid w:val="005249AD"/>
    <w:rsid w:val="005450F8"/>
    <w:rsid w:val="00550E19"/>
    <w:rsid w:val="005564F2"/>
    <w:rsid w:val="005A16D6"/>
    <w:rsid w:val="005D10FB"/>
    <w:rsid w:val="005D4F37"/>
    <w:rsid w:val="00603E72"/>
    <w:rsid w:val="006153F7"/>
    <w:rsid w:val="00616A74"/>
    <w:rsid w:val="00630E60"/>
    <w:rsid w:val="006353F1"/>
    <w:rsid w:val="00640E1A"/>
    <w:rsid w:val="00691A29"/>
    <w:rsid w:val="006D7A2F"/>
    <w:rsid w:val="00703249"/>
    <w:rsid w:val="00715C88"/>
    <w:rsid w:val="0072296F"/>
    <w:rsid w:val="00747E5C"/>
    <w:rsid w:val="00792D9F"/>
    <w:rsid w:val="00793415"/>
    <w:rsid w:val="007B6870"/>
    <w:rsid w:val="007C2735"/>
    <w:rsid w:val="007C5149"/>
    <w:rsid w:val="007D14C0"/>
    <w:rsid w:val="007D1685"/>
    <w:rsid w:val="007F2A38"/>
    <w:rsid w:val="00837ED7"/>
    <w:rsid w:val="00850BC0"/>
    <w:rsid w:val="00855B03"/>
    <w:rsid w:val="008778ED"/>
    <w:rsid w:val="00890DDE"/>
    <w:rsid w:val="008A62BC"/>
    <w:rsid w:val="008D39F6"/>
    <w:rsid w:val="008F3B73"/>
    <w:rsid w:val="0092355F"/>
    <w:rsid w:val="00925EA9"/>
    <w:rsid w:val="00980795"/>
    <w:rsid w:val="009871E1"/>
    <w:rsid w:val="009B50E8"/>
    <w:rsid w:val="00A02F74"/>
    <w:rsid w:val="00A35A19"/>
    <w:rsid w:val="00AA590B"/>
    <w:rsid w:val="00AA6DBE"/>
    <w:rsid w:val="00AB4C4C"/>
    <w:rsid w:val="00AE1039"/>
    <w:rsid w:val="00B1230C"/>
    <w:rsid w:val="00B475B5"/>
    <w:rsid w:val="00B6072E"/>
    <w:rsid w:val="00B70E58"/>
    <w:rsid w:val="00B86B62"/>
    <w:rsid w:val="00BA2400"/>
    <w:rsid w:val="00BA2C3F"/>
    <w:rsid w:val="00BC7506"/>
    <w:rsid w:val="00C12756"/>
    <w:rsid w:val="00C50635"/>
    <w:rsid w:val="00C513FB"/>
    <w:rsid w:val="00C6509A"/>
    <w:rsid w:val="00C751E4"/>
    <w:rsid w:val="00CC3474"/>
    <w:rsid w:val="00CC64B2"/>
    <w:rsid w:val="00CE01DA"/>
    <w:rsid w:val="00CF379D"/>
    <w:rsid w:val="00D119FC"/>
    <w:rsid w:val="00D13152"/>
    <w:rsid w:val="00D32618"/>
    <w:rsid w:val="00D76291"/>
    <w:rsid w:val="00D9356B"/>
    <w:rsid w:val="00DB0B10"/>
    <w:rsid w:val="00DD5942"/>
    <w:rsid w:val="00E6668B"/>
    <w:rsid w:val="00EA79AA"/>
    <w:rsid w:val="00EB080A"/>
    <w:rsid w:val="00EB6C41"/>
    <w:rsid w:val="00F02B26"/>
    <w:rsid w:val="00F07781"/>
    <w:rsid w:val="00F34AFF"/>
    <w:rsid w:val="00F60241"/>
    <w:rsid w:val="00F61FB9"/>
    <w:rsid w:val="00F97445"/>
    <w:rsid w:val="00FB579D"/>
    <w:rsid w:val="00FC5833"/>
    <w:rsid w:val="00FC6EB9"/>
    <w:rsid w:val="00FF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uiPriority w:val="59"/>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080A"/>
    <w:rPr>
      <w:i/>
      <w:iCs/>
    </w:rPr>
  </w:style>
  <w:style w:type="paragraph" w:customStyle="1" w:styleId="Default">
    <w:name w:val="Default"/>
    <w:rsid w:val="007B68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1D4DFB"/>
    <w:rPr>
      <w:rFonts w:ascii="Arial" w:hAnsi="Arial"/>
      <w:lang w:eastAsia="en-US"/>
    </w:rPr>
  </w:style>
  <w:style w:type="paragraph" w:styleId="BalloonText">
    <w:name w:val="Balloon Text"/>
    <w:basedOn w:val="Normal"/>
    <w:link w:val="BalloonTextChar"/>
    <w:rsid w:val="001D4DFB"/>
    <w:rPr>
      <w:rFonts w:ascii="Tahoma" w:hAnsi="Tahoma" w:cs="Tahoma"/>
      <w:sz w:val="16"/>
      <w:szCs w:val="16"/>
    </w:rPr>
  </w:style>
  <w:style w:type="character" w:customStyle="1" w:styleId="BalloonTextChar">
    <w:name w:val="Balloon Text Char"/>
    <w:basedOn w:val="DefaultParagraphFont"/>
    <w:link w:val="BalloonText"/>
    <w:rsid w:val="001D4DFB"/>
    <w:rPr>
      <w:rFonts w:ascii="Tahoma" w:hAnsi="Tahoma" w:cs="Tahoma"/>
      <w:sz w:val="16"/>
      <w:szCs w:val="16"/>
      <w:lang w:eastAsia="en-US"/>
    </w:rPr>
  </w:style>
  <w:style w:type="paragraph" w:styleId="DocumentMap">
    <w:name w:val="Document Map"/>
    <w:basedOn w:val="Normal"/>
    <w:link w:val="DocumentMapChar"/>
    <w:rsid w:val="001D4DFB"/>
    <w:pPr>
      <w:shd w:val="clear" w:color="auto" w:fill="000080"/>
    </w:pPr>
    <w:rPr>
      <w:rFonts w:ascii="Tahoma" w:hAnsi="Tahoma" w:cs="Tahoma"/>
    </w:rPr>
  </w:style>
  <w:style w:type="character" w:customStyle="1" w:styleId="DocumentMapChar">
    <w:name w:val="Document Map Char"/>
    <w:basedOn w:val="DefaultParagraphFont"/>
    <w:link w:val="DocumentMap"/>
    <w:rsid w:val="001D4DFB"/>
    <w:rPr>
      <w:rFonts w:ascii="Tahoma" w:hAnsi="Tahoma" w:cs="Tahoma"/>
      <w:shd w:val="clear" w:color="auto" w:fill="000080"/>
      <w:lang w:eastAsia="en-US"/>
    </w:rPr>
  </w:style>
  <w:style w:type="paragraph" w:customStyle="1" w:styleId="msolistparagraph0">
    <w:name w:val="msolistparagraph"/>
    <w:basedOn w:val="Normal"/>
    <w:rsid w:val="001D4DFB"/>
    <w:pPr>
      <w:ind w:left="720"/>
    </w:pPr>
    <w:rPr>
      <w:rFonts w:ascii="Times New Roman" w:hAnsi="Times New Roman"/>
      <w:sz w:val="24"/>
      <w:szCs w:val="24"/>
      <w:lang w:eastAsia="en-GB"/>
    </w:rPr>
  </w:style>
  <w:style w:type="paragraph" w:styleId="BodyText">
    <w:name w:val="Body Text"/>
    <w:basedOn w:val="Normal"/>
    <w:link w:val="BodyTextChar"/>
    <w:rsid w:val="001D4DFB"/>
    <w:pPr>
      <w:jc w:val="both"/>
    </w:pPr>
    <w:rPr>
      <w:rFonts w:cs="Arial"/>
      <w:sz w:val="22"/>
      <w:szCs w:val="24"/>
    </w:rPr>
  </w:style>
  <w:style w:type="character" w:customStyle="1" w:styleId="BodyTextChar">
    <w:name w:val="Body Text Char"/>
    <w:basedOn w:val="DefaultParagraphFont"/>
    <w:link w:val="BodyText"/>
    <w:rsid w:val="001D4DFB"/>
    <w:rPr>
      <w:rFonts w:ascii="Arial" w:hAnsi="Arial" w:cs="Arial"/>
      <w:sz w:val="22"/>
      <w:szCs w:val="24"/>
      <w:lang w:eastAsia="en-US"/>
    </w:rPr>
  </w:style>
  <w:style w:type="character" w:styleId="Hyperlink">
    <w:name w:val="Hyperlink"/>
    <w:rsid w:val="001D4DFB"/>
    <w:rPr>
      <w:color w:val="0000FF"/>
      <w:u w:val="single"/>
    </w:rPr>
  </w:style>
  <w:style w:type="character" w:customStyle="1" w:styleId="A1">
    <w:name w:val="A1"/>
    <w:rsid w:val="001D4DFB"/>
    <w:rPr>
      <w:rFonts w:cs="Arial"/>
      <w:color w:val="000000"/>
      <w:sz w:val="20"/>
      <w:szCs w:val="20"/>
    </w:rPr>
  </w:style>
  <w:style w:type="character" w:customStyle="1" w:styleId="sub-title">
    <w:name w:val="sub-title"/>
    <w:basedOn w:val="DefaultParagraphFont"/>
    <w:rsid w:val="001D4DFB"/>
  </w:style>
  <w:style w:type="character" w:styleId="Strong">
    <w:name w:val="Strong"/>
    <w:uiPriority w:val="22"/>
    <w:qFormat/>
    <w:rsid w:val="001D4DFB"/>
    <w:rPr>
      <w:b/>
      <w:bCs/>
    </w:rPr>
  </w:style>
  <w:style w:type="paragraph" w:styleId="PlainText">
    <w:name w:val="Plain Text"/>
    <w:basedOn w:val="Normal"/>
    <w:link w:val="PlainTextChar"/>
    <w:rsid w:val="001D4DFB"/>
    <w:pPr>
      <w:spacing w:before="100" w:beforeAutospacing="1" w:after="100" w:afterAutospacing="1"/>
    </w:pPr>
    <w:rPr>
      <w:rFonts w:ascii="Times New Roman" w:hAnsi="Times New Roman"/>
      <w:sz w:val="24"/>
      <w:szCs w:val="24"/>
      <w:lang w:eastAsia="en-GB"/>
    </w:rPr>
  </w:style>
  <w:style w:type="character" w:customStyle="1" w:styleId="PlainTextChar">
    <w:name w:val="Plain Text Char"/>
    <w:basedOn w:val="DefaultParagraphFont"/>
    <w:link w:val="PlainText"/>
    <w:rsid w:val="001D4DFB"/>
    <w:rPr>
      <w:sz w:val="24"/>
      <w:szCs w:val="24"/>
    </w:rPr>
  </w:style>
  <w:style w:type="paragraph" w:styleId="ListParagraph">
    <w:name w:val="List Paragraph"/>
    <w:basedOn w:val="Normal"/>
    <w:uiPriority w:val="34"/>
    <w:qFormat/>
    <w:rsid w:val="001D4DFB"/>
    <w:pPr>
      <w:spacing w:after="200" w:line="276" w:lineRule="auto"/>
      <w:ind w:left="720"/>
      <w:contextualSpacing/>
    </w:pPr>
    <w:rPr>
      <w:rFonts w:ascii="Calibri" w:hAnsi="Calibri"/>
      <w:sz w:val="22"/>
      <w:szCs w:val="22"/>
    </w:rPr>
  </w:style>
  <w:style w:type="paragraph" w:styleId="NormalWeb">
    <w:name w:val="Normal (Web)"/>
    <w:basedOn w:val="Normal"/>
    <w:rsid w:val="001D4DFB"/>
    <w:rPr>
      <w:rFonts w:ascii="Times New Roman" w:eastAsia="Calibri" w:hAnsi="Times New Roman"/>
      <w:sz w:val="24"/>
      <w:szCs w:val="24"/>
      <w:lang w:eastAsia="en-GB"/>
    </w:rPr>
  </w:style>
  <w:style w:type="paragraph" w:customStyle="1" w:styleId="Pa14">
    <w:name w:val="Pa14"/>
    <w:basedOn w:val="Default"/>
    <w:next w:val="Default"/>
    <w:rsid w:val="001D4DFB"/>
    <w:pPr>
      <w:spacing w:line="241" w:lineRule="atLeast"/>
    </w:pPr>
    <w:rPr>
      <w:rFonts w:ascii="Carton" w:hAnsi="Carton" w:cs="Times New Roman"/>
      <w:color w:val="auto"/>
    </w:rPr>
  </w:style>
  <w:style w:type="character" w:customStyle="1" w:styleId="A7">
    <w:name w:val="A7"/>
    <w:rsid w:val="001D4DFB"/>
    <w:rPr>
      <w:rFonts w:cs="Carton"/>
      <w:color w:val="FFFFFF"/>
      <w:sz w:val="72"/>
      <w:szCs w:val="72"/>
    </w:rPr>
  </w:style>
  <w:style w:type="character" w:customStyle="1" w:styleId="A8">
    <w:name w:val="A8"/>
    <w:rsid w:val="001D4DFB"/>
    <w:rPr>
      <w:rFonts w:cs="Carton"/>
      <w:color w:val="F8F298"/>
      <w:sz w:val="96"/>
      <w:szCs w:val="96"/>
    </w:rPr>
  </w:style>
  <w:style w:type="paragraph" w:customStyle="1" w:styleId="Pa4">
    <w:name w:val="Pa4"/>
    <w:basedOn w:val="Default"/>
    <w:next w:val="Default"/>
    <w:rsid w:val="001D4DFB"/>
    <w:pPr>
      <w:spacing w:after="100" w:line="621" w:lineRule="atLeast"/>
    </w:pPr>
    <w:rPr>
      <w:rFonts w:ascii="Carton" w:hAnsi="Carton" w:cs="Times New Roman"/>
      <w:color w:val="auto"/>
    </w:rPr>
  </w:style>
  <w:style w:type="character" w:customStyle="1" w:styleId="A2">
    <w:name w:val="A2"/>
    <w:rsid w:val="001D4DFB"/>
    <w:rPr>
      <w:rFonts w:cs="Carton"/>
      <w:color w:val="614A27"/>
      <w:sz w:val="50"/>
      <w:szCs w:val="50"/>
    </w:rPr>
  </w:style>
  <w:style w:type="paragraph" w:customStyle="1" w:styleId="Pa7">
    <w:name w:val="Pa7"/>
    <w:basedOn w:val="Default"/>
    <w:next w:val="Default"/>
    <w:rsid w:val="001D4DFB"/>
    <w:pPr>
      <w:spacing w:after="40" w:line="241" w:lineRule="atLeast"/>
    </w:pPr>
    <w:rPr>
      <w:rFonts w:ascii="Carton" w:hAnsi="Carton" w:cs="Times New Roman"/>
      <w:color w:val="auto"/>
    </w:rPr>
  </w:style>
  <w:style w:type="paragraph" w:customStyle="1" w:styleId="Pa8">
    <w:name w:val="Pa8"/>
    <w:basedOn w:val="Default"/>
    <w:next w:val="Default"/>
    <w:rsid w:val="001D4DFB"/>
    <w:pPr>
      <w:spacing w:line="241" w:lineRule="atLeast"/>
    </w:pPr>
    <w:rPr>
      <w:rFonts w:ascii="Carton" w:hAnsi="Carton" w:cs="Times New Roman"/>
      <w:color w:val="auto"/>
    </w:rPr>
  </w:style>
  <w:style w:type="character" w:customStyle="1" w:styleId="A5">
    <w:name w:val="A5"/>
    <w:rsid w:val="001D4DFB"/>
    <w:rPr>
      <w:rFonts w:ascii="Myriad Pro" w:hAnsi="Myriad Pro" w:cs="Myriad Pro"/>
      <w:color w:val="221E1F"/>
      <w:sz w:val="20"/>
      <w:szCs w:val="20"/>
    </w:rPr>
  </w:style>
  <w:style w:type="character" w:customStyle="1" w:styleId="A4">
    <w:name w:val="A4"/>
    <w:rsid w:val="001D4DFB"/>
    <w:rPr>
      <w:rFonts w:ascii="Wingdings 3" w:hAnsi="Wingdings 3" w:cs="Wingdings 3"/>
      <w:color w:val="A8C783"/>
      <w:sz w:val="20"/>
      <w:szCs w:val="20"/>
    </w:rPr>
  </w:style>
  <w:style w:type="paragraph" w:customStyle="1" w:styleId="Pa3">
    <w:name w:val="Pa3"/>
    <w:basedOn w:val="Default"/>
    <w:next w:val="Default"/>
    <w:rsid w:val="001D4DFB"/>
    <w:pPr>
      <w:spacing w:line="621" w:lineRule="atLeast"/>
    </w:pPr>
    <w:rPr>
      <w:rFonts w:ascii="Carton" w:hAnsi="Carton" w:cs="Times New Roman"/>
      <w:color w:val="auto"/>
    </w:rPr>
  </w:style>
  <w:style w:type="paragraph" w:customStyle="1" w:styleId="Pa10">
    <w:name w:val="Pa10"/>
    <w:basedOn w:val="Default"/>
    <w:next w:val="Default"/>
    <w:rsid w:val="001D4DFB"/>
    <w:pPr>
      <w:spacing w:after="100" w:line="201" w:lineRule="atLeast"/>
    </w:pPr>
    <w:rPr>
      <w:rFonts w:ascii="Carton" w:hAnsi="Carton" w:cs="Times New Roman"/>
      <w:color w:val="auto"/>
    </w:rPr>
  </w:style>
  <w:style w:type="paragraph" w:customStyle="1" w:styleId="Pa11">
    <w:name w:val="Pa11"/>
    <w:basedOn w:val="Default"/>
    <w:next w:val="Default"/>
    <w:rsid w:val="001D4DFB"/>
    <w:pPr>
      <w:spacing w:after="100" w:line="201" w:lineRule="atLeast"/>
    </w:pPr>
    <w:rPr>
      <w:rFonts w:ascii="Carton" w:hAnsi="Carton" w:cs="Times New Roman"/>
      <w:color w:val="auto"/>
    </w:rPr>
  </w:style>
  <w:style w:type="character" w:customStyle="1" w:styleId="A6">
    <w:name w:val="A6"/>
    <w:rsid w:val="001D4DFB"/>
    <w:rPr>
      <w:rFonts w:ascii="Myriad Pro" w:hAnsi="Myriad Pro" w:cs="Myriad Pro"/>
      <w:i/>
      <w:iCs/>
      <w:color w:val="221E1F"/>
      <w:sz w:val="18"/>
      <w:szCs w:val="18"/>
    </w:rPr>
  </w:style>
  <w:style w:type="character" w:customStyle="1" w:styleId="mchah">
    <w:name w:val="mchah"/>
    <w:semiHidden/>
    <w:rsid w:val="001D4DFB"/>
    <w:rPr>
      <w:rFonts w:ascii="Arial" w:hAnsi="Arial" w:cs="Arial"/>
      <w:b w:val="0"/>
      <w:bCs w:val="0"/>
      <w:i w:val="0"/>
      <w:iCs w:val="0"/>
      <w:strike w:val="0"/>
      <w:color w:val="auto"/>
      <w:sz w:val="24"/>
      <w:szCs w:val="24"/>
      <w:u w:val="none"/>
    </w:rPr>
  </w:style>
  <w:style w:type="paragraph" w:customStyle="1" w:styleId="textaligncenter">
    <w:name w:val="text_align_center"/>
    <w:basedOn w:val="Normal"/>
    <w:rsid w:val="001D4DFB"/>
    <w:pPr>
      <w:spacing w:before="100" w:beforeAutospacing="1" w:after="100" w:afterAutospacing="1"/>
    </w:pPr>
    <w:rPr>
      <w:rFonts w:ascii="Times New Roman" w:hAnsi="Times New Roman"/>
      <w:sz w:val="24"/>
      <w:szCs w:val="24"/>
      <w:lang w:eastAsia="en-GB"/>
    </w:rPr>
  </w:style>
  <w:style w:type="paragraph" w:customStyle="1" w:styleId="textalignleft">
    <w:name w:val="text_align_left"/>
    <w:basedOn w:val="Normal"/>
    <w:rsid w:val="001D4DFB"/>
    <w:pPr>
      <w:spacing w:before="100" w:beforeAutospacing="1" w:after="100" w:afterAutospacing="1"/>
    </w:pPr>
    <w:rPr>
      <w:rFonts w:ascii="Times New Roman" w:hAnsi="Times New Roman"/>
      <w:sz w:val="24"/>
      <w:szCs w:val="24"/>
      <w:lang w:eastAsia="en-GB"/>
    </w:rPr>
  </w:style>
  <w:style w:type="character" w:customStyle="1" w:styleId="apple-tab-span">
    <w:name w:val="apple-tab-span"/>
    <w:rsid w:val="001D4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uiPriority w:val="59"/>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080A"/>
    <w:rPr>
      <w:i/>
      <w:iCs/>
    </w:rPr>
  </w:style>
  <w:style w:type="paragraph" w:customStyle="1" w:styleId="Default">
    <w:name w:val="Default"/>
    <w:rsid w:val="007B68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1D4DFB"/>
    <w:rPr>
      <w:rFonts w:ascii="Arial" w:hAnsi="Arial"/>
      <w:lang w:eastAsia="en-US"/>
    </w:rPr>
  </w:style>
  <w:style w:type="paragraph" w:styleId="BalloonText">
    <w:name w:val="Balloon Text"/>
    <w:basedOn w:val="Normal"/>
    <w:link w:val="BalloonTextChar"/>
    <w:rsid w:val="001D4DFB"/>
    <w:rPr>
      <w:rFonts w:ascii="Tahoma" w:hAnsi="Tahoma" w:cs="Tahoma"/>
      <w:sz w:val="16"/>
      <w:szCs w:val="16"/>
    </w:rPr>
  </w:style>
  <w:style w:type="character" w:customStyle="1" w:styleId="BalloonTextChar">
    <w:name w:val="Balloon Text Char"/>
    <w:basedOn w:val="DefaultParagraphFont"/>
    <w:link w:val="BalloonText"/>
    <w:rsid w:val="001D4DFB"/>
    <w:rPr>
      <w:rFonts w:ascii="Tahoma" w:hAnsi="Tahoma" w:cs="Tahoma"/>
      <w:sz w:val="16"/>
      <w:szCs w:val="16"/>
      <w:lang w:eastAsia="en-US"/>
    </w:rPr>
  </w:style>
  <w:style w:type="paragraph" w:styleId="DocumentMap">
    <w:name w:val="Document Map"/>
    <w:basedOn w:val="Normal"/>
    <w:link w:val="DocumentMapChar"/>
    <w:rsid w:val="001D4DFB"/>
    <w:pPr>
      <w:shd w:val="clear" w:color="auto" w:fill="000080"/>
    </w:pPr>
    <w:rPr>
      <w:rFonts w:ascii="Tahoma" w:hAnsi="Tahoma" w:cs="Tahoma"/>
    </w:rPr>
  </w:style>
  <w:style w:type="character" w:customStyle="1" w:styleId="DocumentMapChar">
    <w:name w:val="Document Map Char"/>
    <w:basedOn w:val="DefaultParagraphFont"/>
    <w:link w:val="DocumentMap"/>
    <w:rsid w:val="001D4DFB"/>
    <w:rPr>
      <w:rFonts w:ascii="Tahoma" w:hAnsi="Tahoma" w:cs="Tahoma"/>
      <w:shd w:val="clear" w:color="auto" w:fill="000080"/>
      <w:lang w:eastAsia="en-US"/>
    </w:rPr>
  </w:style>
  <w:style w:type="paragraph" w:customStyle="1" w:styleId="msolistparagraph0">
    <w:name w:val="msolistparagraph"/>
    <w:basedOn w:val="Normal"/>
    <w:rsid w:val="001D4DFB"/>
    <w:pPr>
      <w:ind w:left="720"/>
    </w:pPr>
    <w:rPr>
      <w:rFonts w:ascii="Times New Roman" w:hAnsi="Times New Roman"/>
      <w:sz w:val="24"/>
      <w:szCs w:val="24"/>
      <w:lang w:eastAsia="en-GB"/>
    </w:rPr>
  </w:style>
  <w:style w:type="paragraph" w:styleId="BodyText">
    <w:name w:val="Body Text"/>
    <w:basedOn w:val="Normal"/>
    <w:link w:val="BodyTextChar"/>
    <w:rsid w:val="001D4DFB"/>
    <w:pPr>
      <w:jc w:val="both"/>
    </w:pPr>
    <w:rPr>
      <w:rFonts w:cs="Arial"/>
      <w:sz w:val="22"/>
      <w:szCs w:val="24"/>
    </w:rPr>
  </w:style>
  <w:style w:type="character" w:customStyle="1" w:styleId="BodyTextChar">
    <w:name w:val="Body Text Char"/>
    <w:basedOn w:val="DefaultParagraphFont"/>
    <w:link w:val="BodyText"/>
    <w:rsid w:val="001D4DFB"/>
    <w:rPr>
      <w:rFonts w:ascii="Arial" w:hAnsi="Arial" w:cs="Arial"/>
      <w:sz w:val="22"/>
      <w:szCs w:val="24"/>
      <w:lang w:eastAsia="en-US"/>
    </w:rPr>
  </w:style>
  <w:style w:type="character" w:styleId="Hyperlink">
    <w:name w:val="Hyperlink"/>
    <w:rsid w:val="001D4DFB"/>
    <w:rPr>
      <w:color w:val="0000FF"/>
      <w:u w:val="single"/>
    </w:rPr>
  </w:style>
  <w:style w:type="character" w:customStyle="1" w:styleId="A1">
    <w:name w:val="A1"/>
    <w:rsid w:val="001D4DFB"/>
    <w:rPr>
      <w:rFonts w:cs="Arial"/>
      <w:color w:val="000000"/>
      <w:sz w:val="20"/>
      <w:szCs w:val="20"/>
    </w:rPr>
  </w:style>
  <w:style w:type="character" w:customStyle="1" w:styleId="sub-title">
    <w:name w:val="sub-title"/>
    <w:basedOn w:val="DefaultParagraphFont"/>
    <w:rsid w:val="001D4DFB"/>
  </w:style>
  <w:style w:type="character" w:styleId="Strong">
    <w:name w:val="Strong"/>
    <w:uiPriority w:val="22"/>
    <w:qFormat/>
    <w:rsid w:val="001D4DFB"/>
    <w:rPr>
      <w:b/>
      <w:bCs/>
    </w:rPr>
  </w:style>
  <w:style w:type="paragraph" w:styleId="PlainText">
    <w:name w:val="Plain Text"/>
    <w:basedOn w:val="Normal"/>
    <w:link w:val="PlainTextChar"/>
    <w:rsid w:val="001D4DFB"/>
    <w:pPr>
      <w:spacing w:before="100" w:beforeAutospacing="1" w:after="100" w:afterAutospacing="1"/>
    </w:pPr>
    <w:rPr>
      <w:rFonts w:ascii="Times New Roman" w:hAnsi="Times New Roman"/>
      <w:sz w:val="24"/>
      <w:szCs w:val="24"/>
      <w:lang w:eastAsia="en-GB"/>
    </w:rPr>
  </w:style>
  <w:style w:type="character" w:customStyle="1" w:styleId="PlainTextChar">
    <w:name w:val="Plain Text Char"/>
    <w:basedOn w:val="DefaultParagraphFont"/>
    <w:link w:val="PlainText"/>
    <w:rsid w:val="001D4DFB"/>
    <w:rPr>
      <w:sz w:val="24"/>
      <w:szCs w:val="24"/>
    </w:rPr>
  </w:style>
  <w:style w:type="paragraph" w:styleId="ListParagraph">
    <w:name w:val="List Paragraph"/>
    <w:basedOn w:val="Normal"/>
    <w:uiPriority w:val="34"/>
    <w:qFormat/>
    <w:rsid w:val="001D4DFB"/>
    <w:pPr>
      <w:spacing w:after="200" w:line="276" w:lineRule="auto"/>
      <w:ind w:left="720"/>
      <w:contextualSpacing/>
    </w:pPr>
    <w:rPr>
      <w:rFonts w:ascii="Calibri" w:hAnsi="Calibri"/>
      <w:sz w:val="22"/>
      <w:szCs w:val="22"/>
    </w:rPr>
  </w:style>
  <w:style w:type="paragraph" w:styleId="NormalWeb">
    <w:name w:val="Normal (Web)"/>
    <w:basedOn w:val="Normal"/>
    <w:rsid w:val="001D4DFB"/>
    <w:rPr>
      <w:rFonts w:ascii="Times New Roman" w:eastAsia="Calibri" w:hAnsi="Times New Roman"/>
      <w:sz w:val="24"/>
      <w:szCs w:val="24"/>
      <w:lang w:eastAsia="en-GB"/>
    </w:rPr>
  </w:style>
  <w:style w:type="paragraph" w:customStyle="1" w:styleId="Pa14">
    <w:name w:val="Pa14"/>
    <w:basedOn w:val="Default"/>
    <w:next w:val="Default"/>
    <w:rsid w:val="001D4DFB"/>
    <w:pPr>
      <w:spacing w:line="241" w:lineRule="atLeast"/>
    </w:pPr>
    <w:rPr>
      <w:rFonts w:ascii="Carton" w:hAnsi="Carton" w:cs="Times New Roman"/>
      <w:color w:val="auto"/>
    </w:rPr>
  </w:style>
  <w:style w:type="character" w:customStyle="1" w:styleId="A7">
    <w:name w:val="A7"/>
    <w:rsid w:val="001D4DFB"/>
    <w:rPr>
      <w:rFonts w:cs="Carton"/>
      <w:color w:val="FFFFFF"/>
      <w:sz w:val="72"/>
      <w:szCs w:val="72"/>
    </w:rPr>
  </w:style>
  <w:style w:type="character" w:customStyle="1" w:styleId="A8">
    <w:name w:val="A8"/>
    <w:rsid w:val="001D4DFB"/>
    <w:rPr>
      <w:rFonts w:cs="Carton"/>
      <w:color w:val="F8F298"/>
      <w:sz w:val="96"/>
      <w:szCs w:val="96"/>
    </w:rPr>
  </w:style>
  <w:style w:type="paragraph" w:customStyle="1" w:styleId="Pa4">
    <w:name w:val="Pa4"/>
    <w:basedOn w:val="Default"/>
    <w:next w:val="Default"/>
    <w:rsid w:val="001D4DFB"/>
    <w:pPr>
      <w:spacing w:after="100" w:line="621" w:lineRule="atLeast"/>
    </w:pPr>
    <w:rPr>
      <w:rFonts w:ascii="Carton" w:hAnsi="Carton" w:cs="Times New Roman"/>
      <w:color w:val="auto"/>
    </w:rPr>
  </w:style>
  <w:style w:type="character" w:customStyle="1" w:styleId="A2">
    <w:name w:val="A2"/>
    <w:rsid w:val="001D4DFB"/>
    <w:rPr>
      <w:rFonts w:cs="Carton"/>
      <w:color w:val="614A27"/>
      <w:sz w:val="50"/>
      <w:szCs w:val="50"/>
    </w:rPr>
  </w:style>
  <w:style w:type="paragraph" w:customStyle="1" w:styleId="Pa7">
    <w:name w:val="Pa7"/>
    <w:basedOn w:val="Default"/>
    <w:next w:val="Default"/>
    <w:rsid w:val="001D4DFB"/>
    <w:pPr>
      <w:spacing w:after="40" w:line="241" w:lineRule="atLeast"/>
    </w:pPr>
    <w:rPr>
      <w:rFonts w:ascii="Carton" w:hAnsi="Carton" w:cs="Times New Roman"/>
      <w:color w:val="auto"/>
    </w:rPr>
  </w:style>
  <w:style w:type="paragraph" w:customStyle="1" w:styleId="Pa8">
    <w:name w:val="Pa8"/>
    <w:basedOn w:val="Default"/>
    <w:next w:val="Default"/>
    <w:rsid w:val="001D4DFB"/>
    <w:pPr>
      <w:spacing w:line="241" w:lineRule="atLeast"/>
    </w:pPr>
    <w:rPr>
      <w:rFonts w:ascii="Carton" w:hAnsi="Carton" w:cs="Times New Roman"/>
      <w:color w:val="auto"/>
    </w:rPr>
  </w:style>
  <w:style w:type="character" w:customStyle="1" w:styleId="A5">
    <w:name w:val="A5"/>
    <w:rsid w:val="001D4DFB"/>
    <w:rPr>
      <w:rFonts w:ascii="Myriad Pro" w:hAnsi="Myriad Pro" w:cs="Myriad Pro"/>
      <w:color w:val="221E1F"/>
      <w:sz w:val="20"/>
      <w:szCs w:val="20"/>
    </w:rPr>
  </w:style>
  <w:style w:type="character" w:customStyle="1" w:styleId="A4">
    <w:name w:val="A4"/>
    <w:rsid w:val="001D4DFB"/>
    <w:rPr>
      <w:rFonts w:ascii="Wingdings 3" w:hAnsi="Wingdings 3" w:cs="Wingdings 3"/>
      <w:color w:val="A8C783"/>
      <w:sz w:val="20"/>
      <w:szCs w:val="20"/>
    </w:rPr>
  </w:style>
  <w:style w:type="paragraph" w:customStyle="1" w:styleId="Pa3">
    <w:name w:val="Pa3"/>
    <w:basedOn w:val="Default"/>
    <w:next w:val="Default"/>
    <w:rsid w:val="001D4DFB"/>
    <w:pPr>
      <w:spacing w:line="621" w:lineRule="atLeast"/>
    </w:pPr>
    <w:rPr>
      <w:rFonts w:ascii="Carton" w:hAnsi="Carton" w:cs="Times New Roman"/>
      <w:color w:val="auto"/>
    </w:rPr>
  </w:style>
  <w:style w:type="paragraph" w:customStyle="1" w:styleId="Pa10">
    <w:name w:val="Pa10"/>
    <w:basedOn w:val="Default"/>
    <w:next w:val="Default"/>
    <w:rsid w:val="001D4DFB"/>
    <w:pPr>
      <w:spacing w:after="100" w:line="201" w:lineRule="atLeast"/>
    </w:pPr>
    <w:rPr>
      <w:rFonts w:ascii="Carton" w:hAnsi="Carton" w:cs="Times New Roman"/>
      <w:color w:val="auto"/>
    </w:rPr>
  </w:style>
  <w:style w:type="paragraph" w:customStyle="1" w:styleId="Pa11">
    <w:name w:val="Pa11"/>
    <w:basedOn w:val="Default"/>
    <w:next w:val="Default"/>
    <w:rsid w:val="001D4DFB"/>
    <w:pPr>
      <w:spacing w:after="100" w:line="201" w:lineRule="atLeast"/>
    </w:pPr>
    <w:rPr>
      <w:rFonts w:ascii="Carton" w:hAnsi="Carton" w:cs="Times New Roman"/>
      <w:color w:val="auto"/>
    </w:rPr>
  </w:style>
  <w:style w:type="character" w:customStyle="1" w:styleId="A6">
    <w:name w:val="A6"/>
    <w:rsid w:val="001D4DFB"/>
    <w:rPr>
      <w:rFonts w:ascii="Myriad Pro" w:hAnsi="Myriad Pro" w:cs="Myriad Pro"/>
      <w:i/>
      <w:iCs/>
      <w:color w:val="221E1F"/>
      <w:sz w:val="18"/>
      <w:szCs w:val="18"/>
    </w:rPr>
  </w:style>
  <w:style w:type="character" w:customStyle="1" w:styleId="mchah">
    <w:name w:val="mchah"/>
    <w:semiHidden/>
    <w:rsid w:val="001D4DFB"/>
    <w:rPr>
      <w:rFonts w:ascii="Arial" w:hAnsi="Arial" w:cs="Arial"/>
      <w:b w:val="0"/>
      <w:bCs w:val="0"/>
      <w:i w:val="0"/>
      <w:iCs w:val="0"/>
      <w:strike w:val="0"/>
      <w:color w:val="auto"/>
      <w:sz w:val="24"/>
      <w:szCs w:val="24"/>
      <w:u w:val="none"/>
    </w:rPr>
  </w:style>
  <w:style w:type="paragraph" w:customStyle="1" w:styleId="textaligncenter">
    <w:name w:val="text_align_center"/>
    <w:basedOn w:val="Normal"/>
    <w:rsid w:val="001D4DFB"/>
    <w:pPr>
      <w:spacing w:before="100" w:beforeAutospacing="1" w:after="100" w:afterAutospacing="1"/>
    </w:pPr>
    <w:rPr>
      <w:rFonts w:ascii="Times New Roman" w:hAnsi="Times New Roman"/>
      <w:sz w:val="24"/>
      <w:szCs w:val="24"/>
      <w:lang w:eastAsia="en-GB"/>
    </w:rPr>
  </w:style>
  <w:style w:type="paragraph" w:customStyle="1" w:styleId="textalignleft">
    <w:name w:val="text_align_left"/>
    <w:basedOn w:val="Normal"/>
    <w:rsid w:val="001D4DFB"/>
    <w:pPr>
      <w:spacing w:before="100" w:beforeAutospacing="1" w:after="100" w:afterAutospacing="1"/>
    </w:pPr>
    <w:rPr>
      <w:rFonts w:ascii="Times New Roman" w:hAnsi="Times New Roman"/>
      <w:sz w:val="24"/>
      <w:szCs w:val="24"/>
      <w:lang w:eastAsia="en-GB"/>
    </w:rPr>
  </w:style>
  <w:style w:type="character" w:customStyle="1" w:styleId="apple-tab-span">
    <w:name w:val="apple-tab-span"/>
    <w:rsid w:val="001D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emocratic%20Keep\Council%20&amp;%20Committees\Executive\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F2F6-3421-46CB-99D4-1F828CE1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8</TotalTime>
  <Pages>6</Pages>
  <Words>1482</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Claire Davies</dc:creator>
  <cp:lastModifiedBy>Amy Nimmo</cp:lastModifiedBy>
  <cp:revision>4</cp:revision>
  <cp:lastPrinted>2015-10-14T13:28:00Z</cp:lastPrinted>
  <dcterms:created xsi:type="dcterms:W3CDTF">2015-10-14T12:04:00Z</dcterms:created>
  <dcterms:modified xsi:type="dcterms:W3CDTF">2015-10-14T13:30:00Z</dcterms:modified>
</cp:coreProperties>
</file>