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47E5C" w:rsidRDefault="0059632C">
      <w:pPr>
        <w:ind w:left="567" w:hanging="567"/>
        <w:jc w:val="both"/>
        <w:rPr>
          <w:b/>
          <w:sz w:val="24"/>
        </w:rPr>
      </w:pPr>
      <w:r>
        <w:rPr>
          <w:b/>
          <w:noProof/>
          <w:sz w:val="24"/>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182245</wp:posOffset>
                </wp:positionV>
                <wp:extent cx="5905500" cy="1327785"/>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327785"/>
                        </a:xfrm>
                        <a:prstGeom prst="rect">
                          <a:avLst/>
                        </a:prstGeom>
                        <a:solidFill>
                          <a:srgbClr val="FFFFFF"/>
                        </a:solidFill>
                        <a:ln w="9525">
                          <a:solidFill>
                            <a:srgbClr val="000000"/>
                          </a:solidFill>
                          <a:miter lim="800000"/>
                          <a:headEnd/>
                          <a:tailEnd/>
                        </a:ln>
                      </wps:spPr>
                      <wps:txbx>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2E290E" w:rsidRDefault="002E290E" w:rsidP="002E290E">
                            <w:pPr>
                              <w:jc w:val="both"/>
                              <w:rPr>
                                <w:b/>
                                <w:sz w:val="24"/>
                                <w:u w:val="single"/>
                              </w:rPr>
                            </w:pPr>
                          </w:p>
                          <w:p w:rsidR="001C74B7" w:rsidRDefault="00ED0A05" w:rsidP="00536227">
                            <w:pPr>
                              <w:ind w:left="567"/>
                              <w:jc w:val="both"/>
                              <w:rPr>
                                <w:b/>
                                <w:sz w:val="24"/>
                              </w:rPr>
                            </w:pPr>
                            <w:r w:rsidRPr="00ED0A05">
                              <w:rPr>
                                <w:sz w:val="24"/>
                              </w:rPr>
                              <w:t xml:space="preserve">To </w:t>
                            </w:r>
                            <w:r w:rsidR="002160BC">
                              <w:rPr>
                                <w:sz w:val="24"/>
                              </w:rPr>
                              <w:t xml:space="preserve">inform the Committee of </w:t>
                            </w:r>
                            <w:r w:rsidRPr="00ED0A05">
                              <w:rPr>
                                <w:sz w:val="24"/>
                              </w:rPr>
                              <w:t>the Ministry of Justice (MOJ) consultation on the closure of courts and tribunal services in the Midlands region which proposes the closure of both Kettering County Court and Kettering Magistrates</w:t>
                            </w:r>
                            <w:r w:rsidR="00536227">
                              <w:rPr>
                                <w:sz w:val="24"/>
                              </w:rPr>
                              <w:t>’</w:t>
                            </w:r>
                            <w:r w:rsidRPr="00ED0A05">
                              <w:rPr>
                                <w:sz w:val="24"/>
                              </w:rPr>
                              <w:t xml:space="preserve"> Court</w:t>
                            </w:r>
                            <w:r w:rsidR="00B442A6">
                              <w:rPr>
                                <w:sz w:val="24"/>
                              </w:rPr>
                              <w:t xml:space="preserve"> and t</w:t>
                            </w:r>
                            <w:r w:rsidRPr="00ED0A05">
                              <w:rPr>
                                <w:sz w:val="24"/>
                              </w:rPr>
                              <w:t xml:space="preserve">o agree </w:t>
                            </w:r>
                            <w:r w:rsidR="00536227">
                              <w:rPr>
                                <w:sz w:val="24"/>
                              </w:rPr>
                              <w:t>to make an offer to the C</w:t>
                            </w:r>
                            <w:r w:rsidR="00B442A6">
                              <w:rPr>
                                <w:sz w:val="24"/>
                              </w:rPr>
                              <w:t>ourts service on h</w:t>
                            </w:r>
                            <w:r w:rsidRPr="00ED0A05">
                              <w:rPr>
                                <w:sz w:val="24"/>
                              </w:rPr>
                              <w:t xml:space="preserve">ow the Council might work with the Court services in partnership to retain these services locally.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35pt;width:465pt;height:10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1KQIAAFEEAAAOAAAAZHJzL2Uyb0RvYy54bWysVN2u0zAMvkfiHaLcs3Zl5WzVuqPDDkNI&#10;hx/pHB7ATdM1Ik1Ckq0dT4+TdmP83SB6Edmx89n+bHd9O3SSHLl1QquSzmcpJVwxXQu1L+nnp92L&#10;JSXOg6pBasVLeuKO3m6eP1v3puCZbrWsuSUIolzRm5K23psiSRxreQdupg1XaGy07cCjavdJbaFH&#10;9E4mWZq+Snpta2M1487h7f1opJuI3zSc+Y9N47gnsqSYm4+njWcVzmSzhmJvwbSCTWnAP2TRgVAY&#10;9AJ1Dx7IwYrfoDrBrHa68TOmu0Q3jWA81oDVzNNfqnlswfBYC5LjzIUm9/9g2YfjJ0tEXdKMEgUd&#10;tuiJD5681gPJAju9cQU6PRp08wNeY5djpc48aPbFEaW3Lag9v7NW9y2HGrObh5fJ1dMRxwWQqn+v&#10;awwDB68j0NDYLlCHZBBExy6dLp0JqTC8zFdpnqdoYmibv8xubpZ5jAHF+bmxzr/luiNBKKnF1kd4&#10;OD44H9KB4uwSojktRb0TUkbF7quttOQIOCa7+E3oP7lJRfqSrvIsHxn4K0Qavz9BdMLjvEvRlXR5&#10;cYIi8PZG1XEaPQg5ypiyVBORgbuRRT9Uw9SYStcnpNTqca5xD1Fotf1GSY8zXVL39QCWUyLfKWzL&#10;ar5YhCWIyiK/yVCx15bq2gKKIVRJPSWjuPXj4hyMFfsWI50H4Q5buROR5NDzMaspb5zbyP20Y2Ex&#10;rvXo9eNPsPkOAAD//wMAUEsDBBQABgAIAAAAIQBLAHwb4AAAAAoBAAAPAAAAZHJzL2Rvd25yZXYu&#10;eG1sTI/BTsMwEETvSPyDtUjcWidB0DTEqRBVz5SChHpzbDeOGq9D7KYpX89yKsedHc28KVeT69ho&#10;htB6FJDOE2AGldctNgI+PzazHFiIErXsPBoBFxNgVd3elLLQ/ozvZtzFhlEIhkIKsDH2BedBWeNk&#10;mPveIP0OfnAy0jk0XA/yTOGu41mSPHEnW6QGK3vzao067k5OQFhvv3t12NZHqy8/b+vxUX1t9kLc&#10;300vz8CimeLVDH/4hA4VMdX+hDqwTsAszWlLFJDlC2BkWKYZCTUJD4sceFXy/xOqXwAAAP//AwBQ&#10;SwECLQAUAAYACAAAACEAtoM4kv4AAADhAQAAEwAAAAAAAAAAAAAAAAAAAAAAW0NvbnRlbnRfVHlw&#10;ZXNdLnhtbFBLAQItABQABgAIAAAAIQA4/SH/1gAAAJQBAAALAAAAAAAAAAAAAAAAAC8BAABfcmVs&#10;cy8ucmVsc1BLAQItABQABgAIAAAAIQD6Y/U1KQIAAFEEAAAOAAAAAAAAAAAAAAAAAC4CAABkcnMv&#10;ZTJvRG9jLnhtbFBLAQItABQABgAIAAAAIQBLAHwb4AAAAAoBAAAPAAAAAAAAAAAAAAAAAIMEAABk&#10;cnMvZG93bnJldi54bWxQSwUGAAAAAAQABADzAAAAkAUAAAAA&#10;">
                <v:textbox style="mso-fit-shape-to-text:t">
                  <w:txbxContent>
                    <w:p w:rsidR="001C74B7" w:rsidRDefault="001C74B7" w:rsidP="002E290E">
                      <w:pPr>
                        <w:numPr>
                          <w:ilvl w:val="0"/>
                          <w:numId w:val="6"/>
                        </w:numPr>
                        <w:tabs>
                          <w:tab w:val="clear" w:pos="360"/>
                        </w:tabs>
                        <w:ind w:left="567" w:hanging="567"/>
                        <w:jc w:val="both"/>
                        <w:rPr>
                          <w:b/>
                          <w:sz w:val="24"/>
                          <w:u w:val="single"/>
                        </w:rPr>
                      </w:pPr>
                      <w:r w:rsidRPr="002E290E">
                        <w:rPr>
                          <w:b/>
                          <w:sz w:val="24"/>
                          <w:u w:val="single"/>
                        </w:rPr>
                        <w:t>PURPOSE OF REPORT</w:t>
                      </w:r>
                    </w:p>
                    <w:p w:rsidR="002E290E" w:rsidRDefault="002E290E" w:rsidP="002E290E">
                      <w:pPr>
                        <w:jc w:val="both"/>
                        <w:rPr>
                          <w:b/>
                          <w:sz w:val="24"/>
                          <w:u w:val="single"/>
                        </w:rPr>
                      </w:pPr>
                    </w:p>
                    <w:p w:rsidR="001C74B7" w:rsidRDefault="00ED0A05" w:rsidP="00536227">
                      <w:pPr>
                        <w:ind w:left="567"/>
                        <w:jc w:val="both"/>
                        <w:rPr>
                          <w:b/>
                          <w:sz w:val="24"/>
                        </w:rPr>
                      </w:pPr>
                      <w:r w:rsidRPr="00ED0A05">
                        <w:rPr>
                          <w:sz w:val="24"/>
                        </w:rPr>
                        <w:t xml:space="preserve">To </w:t>
                      </w:r>
                      <w:r w:rsidR="002160BC">
                        <w:rPr>
                          <w:sz w:val="24"/>
                        </w:rPr>
                        <w:t xml:space="preserve">inform the Committee of </w:t>
                      </w:r>
                      <w:r w:rsidRPr="00ED0A05">
                        <w:rPr>
                          <w:sz w:val="24"/>
                        </w:rPr>
                        <w:t>the Ministry of Justice (MOJ) consultation on the closure of courts and tribunal services in the Midlands region which proposes the closure of both Kettering County Court and Kettering Magistrates</w:t>
                      </w:r>
                      <w:r w:rsidR="00536227">
                        <w:rPr>
                          <w:sz w:val="24"/>
                        </w:rPr>
                        <w:t>’</w:t>
                      </w:r>
                      <w:r w:rsidRPr="00ED0A05">
                        <w:rPr>
                          <w:sz w:val="24"/>
                        </w:rPr>
                        <w:t xml:space="preserve"> Court</w:t>
                      </w:r>
                      <w:r w:rsidR="00B442A6">
                        <w:rPr>
                          <w:sz w:val="24"/>
                        </w:rPr>
                        <w:t xml:space="preserve"> and t</w:t>
                      </w:r>
                      <w:r w:rsidRPr="00ED0A05">
                        <w:rPr>
                          <w:sz w:val="24"/>
                        </w:rPr>
                        <w:t xml:space="preserve">o agree </w:t>
                      </w:r>
                      <w:r w:rsidR="00536227">
                        <w:rPr>
                          <w:sz w:val="24"/>
                        </w:rPr>
                        <w:t>to make an offer to the C</w:t>
                      </w:r>
                      <w:r w:rsidR="00B442A6">
                        <w:rPr>
                          <w:sz w:val="24"/>
                        </w:rPr>
                        <w:t>ourts service on h</w:t>
                      </w:r>
                      <w:r w:rsidRPr="00ED0A05">
                        <w:rPr>
                          <w:sz w:val="24"/>
                        </w:rPr>
                        <w:t xml:space="preserve">ow the Council might work with the Court services in partnership to retain these services locally.   </w:t>
                      </w:r>
                    </w:p>
                  </w:txbxContent>
                </v:textbox>
                <w10:wrap type="square"/>
              </v:shape>
            </w:pict>
          </mc:Fallback>
        </mc:AlternateContent>
      </w:r>
      <w:r w:rsidR="00747E5C">
        <w:rPr>
          <w:b/>
          <w:sz w:val="24"/>
        </w:rPr>
        <w:tab/>
      </w:r>
    </w:p>
    <w:p w:rsidR="00747E5C" w:rsidRDefault="00747E5C">
      <w:pPr>
        <w:ind w:left="567" w:hanging="567"/>
        <w:jc w:val="both"/>
        <w:rPr>
          <w:b/>
          <w:sz w:val="24"/>
          <w:u w:val="single"/>
        </w:rPr>
      </w:pPr>
    </w:p>
    <w:p w:rsidR="00747E5C" w:rsidRPr="00ED0A05" w:rsidRDefault="00747E5C" w:rsidP="002E290E">
      <w:pPr>
        <w:numPr>
          <w:ilvl w:val="0"/>
          <w:numId w:val="5"/>
        </w:numPr>
        <w:tabs>
          <w:tab w:val="clear" w:pos="360"/>
        </w:tabs>
        <w:ind w:left="567" w:hanging="567"/>
        <w:jc w:val="both"/>
        <w:rPr>
          <w:sz w:val="24"/>
          <w:u w:val="single"/>
        </w:rPr>
      </w:pPr>
      <w:r w:rsidRPr="002E290E">
        <w:rPr>
          <w:b/>
          <w:sz w:val="24"/>
          <w:u w:val="single"/>
        </w:rPr>
        <w:t>INFORMATIO</w:t>
      </w:r>
      <w:r w:rsidR="00A02F74" w:rsidRPr="002E290E">
        <w:rPr>
          <w:b/>
          <w:sz w:val="24"/>
          <w:u w:val="single"/>
        </w:rPr>
        <w:t>N</w:t>
      </w:r>
    </w:p>
    <w:p w:rsidR="00ED0A05" w:rsidRDefault="00ED0A05" w:rsidP="00ED0A05">
      <w:pPr>
        <w:jc w:val="both"/>
        <w:rPr>
          <w:b/>
          <w:sz w:val="24"/>
          <w:u w:val="single"/>
        </w:rPr>
      </w:pPr>
    </w:p>
    <w:p w:rsidR="00ED0A05" w:rsidRPr="00ED0A05" w:rsidRDefault="00ED0A05" w:rsidP="00ED0A05">
      <w:pPr>
        <w:ind w:left="567"/>
        <w:jc w:val="both"/>
        <w:rPr>
          <w:sz w:val="24"/>
        </w:rPr>
      </w:pPr>
      <w:r w:rsidRPr="00ED0A05">
        <w:rPr>
          <w:sz w:val="24"/>
        </w:rPr>
        <w:t>On the 16th July the Ministry of Justice (MOJ) published a consultation paper on the provision of court and tribunal services in the Midlands Region. The consultation proposes to close 14 courts and tribunals in the region including Kettering County Court and Kettering Magistrates</w:t>
      </w:r>
      <w:r w:rsidR="00536227">
        <w:rPr>
          <w:sz w:val="24"/>
        </w:rPr>
        <w:t>’</w:t>
      </w:r>
      <w:r w:rsidRPr="00ED0A05">
        <w:rPr>
          <w:sz w:val="24"/>
        </w:rPr>
        <w:t xml:space="preserve"> Court. It also proposes closure of Corby Magistrates</w:t>
      </w:r>
      <w:r w:rsidR="00536227">
        <w:rPr>
          <w:sz w:val="24"/>
        </w:rPr>
        <w:t>’</w:t>
      </w:r>
      <w:r w:rsidRPr="00ED0A05">
        <w:rPr>
          <w:sz w:val="24"/>
        </w:rPr>
        <w:t xml:space="preserve"> Court. The relevant pages from the consultation document are reproduced at </w:t>
      </w:r>
      <w:r w:rsidRPr="00577209">
        <w:rPr>
          <w:b/>
          <w:sz w:val="24"/>
        </w:rPr>
        <w:t>Appendix 1</w:t>
      </w:r>
      <w:r w:rsidRPr="00ED0A05">
        <w:rPr>
          <w:sz w:val="24"/>
        </w:rPr>
        <w:t>.  The consultation closes on the 8th October 2015.</w:t>
      </w:r>
    </w:p>
    <w:p w:rsidR="00ED0A05" w:rsidRDefault="00ED0A05" w:rsidP="00ED0A05">
      <w:pPr>
        <w:jc w:val="both"/>
        <w:rPr>
          <w:sz w:val="24"/>
        </w:rPr>
      </w:pPr>
    </w:p>
    <w:p w:rsidR="00ED0A05" w:rsidRPr="002B1ABF" w:rsidRDefault="00ED0A05" w:rsidP="00ED0A05">
      <w:pPr>
        <w:jc w:val="both"/>
        <w:rPr>
          <w:b/>
          <w:sz w:val="24"/>
        </w:rPr>
      </w:pPr>
      <w:r w:rsidRPr="002B1ABF">
        <w:rPr>
          <w:b/>
          <w:sz w:val="24"/>
        </w:rPr>
        <w:t xml:space="preserve">2.1 </w:t>
      </w:r>
      <w:r w:rsidRPr="002B1ABF">
        <w:rPr>
          <w:b/>
          <w:sz w:val="24"/>
        </w:rPr>
        <w:tab/>
        <w:t xml:space="preserve">Kettering County Court </w:t>
      </w:r>
    </w:p>
    <w:p w:rsidR="00ED0A05" w:rsidRDefault="00ED0A05" w:rsidP="00ED0A05">
      <w:pPr>
        <w:jc w:val="both"/>
        <w:rPr>
          <w:sz w:val="24"/>
        </w:rPr>
      </w:pPr>
    </w:p>
    <w:p w:rsidR="00ED0A05" w:rsidRPr="00ED0A05" w:rsidRDefault="00ED0A05" w:rsidP="00ED0A05">
      <w:pPr>
        <w:ind w:left="720" w:hanging="720"/>
        <w:jc w:val="both"/>
        <w:rPr>
          <w:sz w:val="24"/>
        </w:rPr>
      </w:pPr>
      <w:r w:rsidRPr="00ED0A05">
        <w:rPr>
          <w:sz w:val="24"/>
        </w:rPr>
        <w:t>2.1.1</w:t>
      </w:r>
      <w:r w:rsidRPr="00ED0A05">
        <w:rPr>
          <w:sz w:val="24"/>
        </w:rPr>
        <w:tab/>
        <w:t>Kettering County Court is one of two courts in Northamptonshire, the other being the Northampton Combined Court. It is currently open and staffed two days per week. The paper proposes that the Court is closed and its workload is transferred to Northampton Crown Court, County Court and Family Court hearing centre.</w:t>
      </w:r>
    </w:p>
    <w:p w:rsidR="00ED0A05" w:rsidRDefault="00ED0A05" w:rsidP="00ED0A05">
      <w:pPr>
        <w:jc w:val="both"/>
        <w:rPr>
          <w:sz w:val="24"/>
        </w:rPr>
      </w:pPr>
    </w:p>
    <w:p w:rsidR="00ED0A05" w:rsidRPr="00ED0A05" w:rsidRDefault="00ED0A05" w:rsidP="00536227">
      <w:pPr>
        <w:ind w:left="709" w:hanging="709"/>
        <w:jc w:val="both"/>
        <w:rPr>
          <w:sz w:val="24"/>
        </w:rPr>
      </w:pPr>
      <w:r w:rsidRPr="00ED0A05">
        <w:rPr>
          <w:sz w:val="24"/>
        </w:rPr>
        <w:t>2.1.2</w:t>
      </w:r>
      <w:r w:rsidRPr="00ED0A05">
        <w:rPr>
          <w:sz w:val="24"/>
        </w:rPr>
        <w:tab/>
        <w:t>The rational</w:t>
      </w:r>
      <w:r w:rsidR="00536227">
        <w:rPr>
          <w:sz w:val="24"/>
        </w:rPr>
        <w:t>e</w:t>
      </w:r>
      <w:r w:rsidRPr="00ED0A05">
        <w:rPr>
          <w:sz w:val="24"/>
        </w:rPr>
        <w:t xml:space="preserve"> for closure is that the existing Ketteri</w:t>
      </w:r>
      <w:r w:rsidR="00536227">
        <w:rPr>
          <w:sz w:val="24"/>
        </w:rPr>
        <w:t xml:space="preserve">ng County Court building is not </w:t>
      </w:r>
      <w:r w:rsidRPr="00ED0A05">
        <w:rPr>
          <w:sz w:val="24"/>
        </w:rPr>
        <w:t xml:space="preserve">fit for purpose and would require major investment for the delivery of modern justice. The current annual operating costs </w:t>
      </w:r>
      <w:r w:rsidR="00536227">
        <w:rPr>
          <w:sz w:val="24"/>
        </w:rPr>
        <w:t xml:space="preserve">for the court are approximately </w:t>
      </w:r>
      <w:r w:rsidRPr="00ED0A05">
        <w:rPr>
          <w:sz w:val="24"/>
        </w:rPr>
        <w:t>£104,000</w:t>
      </w:r>
    </w:p>
    <w:p w:rsidR="00ED0A05" w:rsidRPr="002B1ABF" w:rsidRDefault="00ED0A05" w:rsidP="00ED0A05">
      <w:pPr>
        <w:jc w:val="both"/>
        <w:rPr>
          <w:b/>
          <w:sz w:val="24"/>
        </w:rPr>
      </w:pPr>
    </w:p>
    <w:p w:rsidR="00ED0A05" w:rsidRPr="002B1ABF" w:rsidRDefault="00ED0A05" w:rsidP="00ED0A05">
      <w:pPr>
        <w:jc w:val="both"/>
        <w:rPr>
          <w:b/>
          <w:sz w:val="24"/>
        </w:rPr>
      </w:pPr>
      <w:r w:rsidRPr="002B1ABF">
        <w:rPr>
          <w:b/>
          <w:sz w:val="24"/>
        </w:rPr>
        <w:t>2.2</w:t>
      </w:r>
      <w:r w:rsidRPr="002B1ABF">
        <w:rPr>
          <w:b/>
          <w:sz w:val="24"/>
        </w:rPr>
        <w:tab/>
        <w:t>Kettering Magistrates</w:t>
      </w:r>
      <w:r w:rsidR="00536227">
        <w:rPr>
          <w:b/>
          <w:sz w:val="24"/>
        </w:rPr>
        <w:t>’</w:t>
      </w:r>
      <w:r w:rsidRPr="002B1ABF">
        <w:rPr>
          <w:b/>
          <w:sz w:val="24"/>
        </w:rPr>
        <w:t xml:space="preserve"> Court </w:t>
      </w:r>
    </w:p>
    <w:p w:rsidR="00ED0A05" w:rsidRDefault="00ED0A05" w:rsidP="00ED0A05">
      <w:pPr>
        <w:jc w:val="both"/>
        <w:rPr>
          <w:sz w:val="24"/>
        </w:rPr>
      </w:pPr>
    </w:p>
    <w:p w:rsidR="00ED0A05" w:rsidRDefault="00ED0A05" w:rsidP="00ED0A05">
      <w:pPr>
        <w:ind w:left="720" w:hanging="720"/>
        <w:jc w:val="both"/>
        <w:rPr>
          <w:sz w:val="24"/>
        </w:rPr>
      </w:pPr>
      <w:r w:rsidRPr="00ED0A05">
        <w:rPr>
          <w:sz w:val="24"/>
        </w:rPr>
        <w:t>2.2.1</w:t>
      </w:r>
      <w:r w:rsidRPr="00ED0A05">
        <w:rPr>
          <w:sz w:val="24"/>
        </w:rPr>
        <w:tab/>
        <w:t>Kettering Magistrates</w:t>
      </w:r>
      <w:r w:rsidR="00536227">
        <w:rPr>
          <w:sz w:val="24"/>
        </w:rPr>
        <w:t>’</w:t>
      </w:r>
      <w:r w:rsidRPr="00ED0A05">
        <w:rPr>
          <w:sz w:val="24"/>
        </w:rPr>
        <w:t xml:space="preserve"> Court is one of four magistrates’ courts in Northamptonshire, the others located in Corby, Northampton and Wellingborough. The court deals with adult and youth criminal court business and Tribunal m</w:t>
      </w:r>
      <w:r w:rsidR="00536227">
        <w:rPr>
          <w:sz w:val="24"/>
        </w:rPr>
        <w:t xml:space="preserve">atters and currently </w:t>
      </w:r>
      <w:r w:rsidRPr="00ED0A05">
        <w:rPr>
          <w:sz w:val="24"/>
        </w:rPr>
        <w:t>sits 4 days per week.</w:t>
      </w:r>
    </w:p>
    <w:p w:rsidR="00ED0A05" w:rsidRPr="00ED0A05" w:rsidRDefault="00ED0A05" w:rsidP="00ED0A05">
      <w:pPr>
        <w:jc w:val="both"/>
        <w:rPr>
          <w:sz w:val="24"/>
        </w:rPr>
      </w:pPr>
    </w:p>
    <w:p w:rsidR="00ED0A05" w:rsidRDefault="00ED0A05" w:rsidP="00ED0A05">
      <w:pPr>
        <w:ind w:left="720" w:hanging="720"/>
        <w:jc w:val="both"/>
        <w:rPr>
          <w:sz w:val="24"/>
        </w:rPr>
      </w:pPr>
      <w:r w:rsidRPr="00ED0A05">
        <w:rPr>
          <w:sz w:val="24"/>
        </w:rPr>
        <w:t>2.2.2</w:t>
      </w:r>
      <w:r w:rsidRPr="00ED0A05">
        <w:rPr>
          <w:sz w:val="24"/>
        </w:rPr>
        <w:tab/>
        <w:t xml:space="preserve">The </w:t>
      </w:r>
      <w:r w:rsidR="001C0D19">
        <w:rPr>
          <w:sz w:val="24"/>
        </w:rPr>
        <w:t>MOJ consultation</w:t>
      </w:r>
      <w:r w:rsidRPr="00ED0A05">
        <w:rPr>
          <w:sz w:val="24"/>
        </w:rPr>
        <w:t xml:space="preserve"> proposes that the Kettering Magistrates’ Court closes and work is consolidated and transferred to Wellingborough Magistrates’ Court. The same solution is proposed within the detail relating to the closure of Corby Magistrates’ court.</w:t>
      </w:r>
    </w:p>
    <w:p w:rsidR="00ED0A05" w:rsidRPr="00ED0A05" w:rsidRDefault="00ED0A05" w:rsidP="00ED0A05">
      <w:pPr>
        <w:jc w:val="both"/>
        <w:rPr>
          <w:sz w:val="24"/>
        </w:rPr>
      </w:pPr>
    </w:p>
    <w:p w:rsidR="00ED0A05" w:rsidRDefault="00ED0A05" w:rsidP="00ED0A05">
      <w:pPr>
        <w:ind w:left="720" w:hanging="720"/>
        <w:jc w:val="both"/>
        <w:rPr>
          <w:sz w:val="24"/>
        </w:rPr>
      </w:pPr>
      <w:r w:rsidRPr="00ED0A05">
        <w:rPr>
          <w:sz w:val="24"/>
        </w:rPr>
        <w:t>2.2.3</w:t>
      </w:r>
      <w:r w:rsidRPr="00ED0A05">
        <w:rPr>
          <w:sz w:val="24"/>
        </w:rPr>
        <w:tab/>
        <w:t>The rational</w:t>
      </w:r>
      <w:r w:rsidR="00536227">
        <w:rPr>
          <w:sz w:val="24"/>
        </w:rPr>
        <w:t>e</w:t>
      </w:r>
      <w:r w:rsidRPr="00ED0A05">
        <w:rPr>
          <w:sz w:val="24"/>
        </w:rPr>
        <w:t xml:space="preserve"> for closure of Kettering Magistrates’ court again surrounds the building not being fit for purpose and providing the appropriate facilities for victims and witnesses.</w:t>
      </w:r>
    </w:p>
    <w:p w:rsidR="00ED0A05" w:rsidRPr="00ED0A05" w:rsidRDefault="00ED0A05" w:rsidP="00ED0A05">
      <w:pPr>
        <w:jc w:val="both"/>
        <w:rPr>
          <w:sz w:val="24"/>
        </w:rPr>
      </w:pPr>
    </w:p>
    <w:p w:rsidR="00ED0A05" w:rsidRDefault="00ED0A05" w:rsidP="00ED0A05">
      <w:pPr>
        <w:jc w:val="both"/>
        <w:rPr>
          <w:sz w:val="24"/>
        </w:rPr>
      </w:pPr>
      <w:r w:rsidRPr="00ED0A05">
        <w:rPr>
          <w:sz w:val="24"/>
        </w:rPr>
        <w:t>2.2.4</w:t>
      </w:r>
      <w:r w:rsidRPr="00ED0A05">
        <w:rPr>
          <w:sz w:val="24"/>
        </w:rPr>
        <w:tab/>
        <w:t xml:space="preserve">The annual operating costs for Kettering </w:t>
      </w:r>
      <w:r w:rsidR="00536227">
        <w:rPr>
          <w:sz w:val="24"/>
        </w:rPr>
        <w:t>Magistrates’ court are £82,000.</w:t>
      </w:r>
    </w:p>
    <w:p w:rsidR="00ED0A05" w:rsidRPr="00ED0A05" w:rsidRDefault="00ED0A05" w:rsidP="00ED0A05">
      <w:pPr>
        <w:jc w:val="both"/>
        <w:rPr>
          <w:sz w:val="24"/>
        </w:rPr>
      </w:pPr>
    </w:p>
    <w:p w:rsidR="00ED0A05" w:rsidRDefault="00ED0A05" w:rsidP="00ED0A05">
      <w:pPr>
        <w:ind w:left="720" w:hanging="720"/>
        <w:jc w:val="both"/>
        <w:rPr>
          <w:sz w:val="24"/>
        </w:rPr>
      </w:pPr>
      <w:r w:rsidRPr="00ED0A05">
        <w:rPr>
          <w:sz w:val="24"/>
        </w:rPr>
        <w:t>2.2.5</w:t>
      </w:r>
      <w:r w:rsidRPr="00ED0A05">
        <w:rPr>
          <w:sz w:val="24"/>
        </w:rPr>
        <w:tab/>
        <w:t>Members may be reminded of a similar proposal to clo</w:t>
      </w:r>
      <w:r w:rsidR="00536227">
        <w:rPr>
          <w:sz w:val="24"/>
        </w:rPr>
        <w:t>se Kettering Magistrates’ Court</w:t>
      </w:r>
      <w:r w:rsidRPr="00ED0A05">
        <w:rPr>
          <w:sz w:val="24"/>
        </w:rPr>
        <w:t xml:space="preserve"> in 2010. At that time we responded to the consultation and the decision was made to retain the courts in Kettering as Wellingborough and Corby did not have the capacity to absorb the workload from Kettering. The consultation paper states that over the last five years the workload has continued to reduce and Wellingborough now has the capacity to pick up the work from </w:t>
      </w:r>
      <w:r w:rsidR="00536227" w:rsidRPr="00ED0A05">
        <w:rPr>
          <w:sz w:val="24"/>
        </w:rPr>
        <w:t xml:space="preserve">both </w:t>
      </w:r>
      <w:r w:rsidRPr="00ED0A05">
        <w:rPr>
          <w:sz w:val="24"/>
        </w:rPr>
        <w:t>Kettering and Corby.</w:t>
      </w:r>
    </w:p>
    <w:p w:rsidR="00ED0A05" w:rsidRPr="00ED0A05" w:rsidRDefault="00ED0A05" w:rsidP="00ED0A05">
      <w:pPr>
        <w:ind w:left="720" w:hanging="720"/>
        <w:jc w:val="both"/>
        <w:rPr>
          <w:sz w:val="24"/>
        </w:rPr>
      </w:pPr>
    </w:p>
    <w:p w:rsidR="00ED0A05" w:rsidRDefault="00ED0A05" w:rsidP="0071794D">
      <w:pPr>
        <w:rPr>
          <w:b/>
          <w:sz w:val="24"/>
          <w:u w:val="single"/>
        </w:rPr>
      </w:pPr>
      <w:r w:rsidRPr="00ED0A05">
        <w:rPr>
          <w:b/>
          <w:sz w:val="24"/>
        </w:rPr>
        <w:t>3</w:t>
      </w:r>
      <w:r w:rsidR="0073365A">
        <w:rPr>
          <w:b/>
          <w:sz w:val="24"/>
        </w:rPr>
        <w:t>.</w:t>
      </w:r>
      <w:r w:rsidRPr="00ED0A05">
        <w:rPr>
          <w:b/>
          <w:sz w:val="24"/>
        </w:rPr>
        <w:tab/>
      </w:r>
      <w:r w:rsidRPr="00ED0A05">
        <w:rPr>
          <w:b/>
          <w:sz w:val="24"/>
          <w:u w:val="single"/>
        </w:rPr>
        <w:t>C</w:t>
      </w:r>
      <w:r>
        <w:rPr>
          <w:b/>
          <w:sz w:val="24"/>
          <w:u w:val="single"/>
        </w:rPr>
        <w:t>ONSULTATION RESPONSE</w:t>
      </w:r>
      <w:r w:rsidR="00DE6BD9">
        <w:rPr>
          <w:b/>
          <w:sz w:val="24"/>
          <w:u w:val="single"/>
        </w:rPr>
        <w:t xml:space="preserve"> -</w:t>
      </w:r>
      <w:r>
        <w:rPr>
          <w:b/>
          <w:sz w:val="24"/>
          <w:u w:val="single"/>
        </w:rPr>
        <w:t xml:space="preserve"> POTENTIAL FOR PARTNERSHIP </w:t>
      </w:r>
      <w:r w:rsidRPr="00ED0A05">
        <w:rPr>
          <w:b/>
          <w:sz w:val="24"/>
        </w:rPr>
        <w:tab/>
      </w:r>
      <w:r>
        <w:rPr>
          <w:b/>
          <w:sz w:val="24"/>
          <w:u w:val="single"/>
        </w:rPr>
        <w:t xml:space="preserve">WORKING </w:t>
      </w:r>
    </w:p>
    <w:p w:rsidR="00ED0A05" w:rsidRDefault="00ED0A05" w:rsidP="00ED0A05">
      <w:pPr>
        <w:jc w:val="both"/>
        <w:rPr>
          <w:b/>
          <w:sz w:val="24"/>
          <w:u w:val="single"/>
        </w:rPr>
      </w:pPr>
    </w:p>
    <w:p w:rsidR="00ED0A05" w:rsidRDefault="00ED0A05" w:rsidP="00ED0A05">
      <w:pPr>
        <w:jc w:val="both"/>
        <w:rPr>
          <w:sz w:val="24"/>
        </w:rPr>
      </w:pPr>
      <w:r w:rsidRPr="00ED0A05">
        <w:rPr>
          <w:sz w:val="24"/>
        </w:rPr>
        <w:t>3.1</w:t>
      </w:r>
      <w:r w:rsidRPr="00ED0A05">
        <w:rPr>
          <w:sz w:val="24"/>
        </w:rPr>
        <w:tab/>
        <w:t xml:space="preserve">Our draft consultation response is attached at Appendix 2. The main thrust of </w:t>
      </w:r>
      <w:r>
        <w:rPr>
          <w:sz w:val="24"/>
        </w:rPr>
        <w:tab/>
      </w:r>
      <w:r w:rsidRPr="00ED0A05">
        <w:rPr>
          <w:sz w:val="24"/>
        </w:rPr>
        <w:t xml:space="preserve">this is to encourage </w:t>
      </w:r>
      <w:r w:rsidR="00807013">
        <w:rPr>
          <w:sz w:val="24"/>
        </w:rPr>
        <w:t xml:space="preserve">HM Courts and Tribunal Service </w:t>
      </w:r>
      <w:r w:rsidRPr="00ED0A05">
        <w:rPr>
          <w:sz w:val="24"/>
        </w:rPr>
        <w:t xml:space="preserve">to work in partnership with </w:t>
      </w:r>
      <w:r w:rsidR="00807013">
        <w:rPr>
          <w:sz w:val="24"/>
        </w:rPr>
        <w:tab/>
      </w:r>
      <w:r w:rsidRPr="00ED0A05">
        <w:rPr>
          <w:sz w:val="24"/>
        </w:rPr>
        <w:t xml:space="preserve">Kettering Borough Council to retain a local court service. We have structured </w:t>
      </w:r>
      <w:r w:rsidR="00807013">
        <w:rPr>
          <w:sz w:val="24"/>
        </w:rPr>
        <w:tab/>
      </w:r>
      <w:r w:rsidRPr="00ED0A05">
        <w:rPr>
          <w:sz w:val="24"/>
        </w:rPr>
        <w:t xml:space="preserve">the response to address the three main aims of the MOJ outlined in the </w:t>
      </w:r>
      <w:r w:rsidR="00807013">
        <w:rPr>
          <w:sz w:val="24"/>
        </w:rPr>
        <w:tab/>
      </w:r>
      <w:r w:rsidR="00536227">
        <w:rPr>
          <w:sz w:val="24"/>
        </w:rPr>
        <w:t>consultation paper which are:-</w:t>
      </w:r>
    </w:p>
    <w:p w:rsidR="00536227" w:rsidRPr="00ED0A05" w:rsidRDefault="00536227" w:rsidP="00ED0A05">
      <w:pPr>
        <w:jc w:val="both"/>
        <w:rPr>
          <w:sz w:val="24"/>
        </w:rPr>
      </w:pPr>
    </w:p>
    <w:p w:rsidR="00ED0A05" w:rsidRPr="00807013" w:rsidRDefault="00ED0A05" w:rsidP="00536227">
      <w:pPr>
        <w:pStyle w:val="ListParagraph"/>
        <w:numPr>
          <w:ilvl w:val="0"/>
          <w:numId w:val="37"/>
        </w:numPr>
        <w:ind w:left="1843" w:hanging="403"/>
        <w:jc w:val="both"/>
        <w:rPr>
          <w:sz w:val="24"/>
        </w:rPr>
      </w:pPr>
      <w:r w:rsidRPr="00807013">
        <w:rPr>
          <w:sz w:val="24"/>
        </w:rPr>
        <w:t>Ensuring access to justice</w:t>
      </w:r>
    </w:p>
    <w:p w:rsidR="00ED0A05" w:rsidRPr="00807013" w:rsidRDefault="00ED0A05" w:rsidP="00536227">
      <w:pPr>
        <w:pStyle w:val="ListParagraph"/>
        <w:numPr>
          <w:ilvl w:val="0"/>
          <w:numId w:val="37"/>
        </w:numPr>
        <w:ind w:left="1843" w:hanging="403"/>
        <w:jc w:val="both"/>
        <w:rPr>
          <w:sz w:val="24"/>
        </w:rPr>
      </w:pPr>
      <w:r w:rsidRPr="00807013">
        <w:rPr>
          <w:sz w:val="24"/>
        </w:rPr>
        <w:t>Delivering Value for Money</w:t>
      </w:r>
    </w:p>
    <w:p w:rsidR="00ED0A05" w:rsidRPr="00807013" w:rsidRDefault="00ED0A05" w:rsidP="00536227">
      <w:pPr>
        <w:pStyle w:val="ListParagraph"/>
        <w:numPr>
          <w:ilvl w:val="0"/>
          <w:numId w:val="37"/>
        </w:numPr>
        <w:ind w:left="1843" w:hanging="403"/>
        <w:jc w:val="both"/>
        <w:rPr>
          <w:sz w:val="24"/>
        </w:rPr>
      </w:pPr>
      <w:r w:rsidRPr="00807013">
        <w:rPr>
          <w:sz w:val="24"/>
        </w:rPr>
        <w:t>Enabling efficiency in the longer term</w:t>
      </w:r>
    </w:p>
    <w:p w:rsidR="00ED0A05" w:rsidRPr="00ED0A05" w:rsidRDefault="00ED0A05" w:rsidP="00ED0A05">
      <w:pPr>
        <w:ind w:firstLine="720"/>
        <w:jc w:val="both"/>
        <w:rPr>
          <w:sz w:val="24"/>
        </w:rPr>
      </w:pPr>
    </w:p>
    <w:p w:rsidR="00ED0A05" w:rsidRDefault="00ED0A05" w:rsidP="00ED0A05">
      <w:pPr>
        <w:jc w:val="both"/>
        <w:rPr>
          <w:sz w:val="24"/>
        </w:rPr>
      </w:pPr>
      <w:r w:rsidRPr="00ED0A05">
        <w:rPr>
          <w:sz w:val="24"/>
        </w:rPr>
        <w:t>3.2</w:t>
      </w:r>
      <w:r w:rsidRPr="00ED0A05">
        <w:rPr>
          <w:sz w:val="24"/>
        </w:rPr>
        <w:tab/>
        <w:t xml:space="preserve">The following key issues and opportunities are </w:t>
      </w:r>
      <w:r w:rsidR="00DE6BD9">
        <w:rPr>
          <w:sz w:val="24"/>
        </w:rPr>
        <w:t>emphasised</w:t>
      </w:r>
      <w:r w:rsidR="0071794D">
        <w:rPr>
          <w:sz w:val="24"/>
        </w:rPr>
        <w:t>:</w:t>
      </w:r>
    </w:p>
    <w:p w:rsidR="00ED0A05" w:rsidRPr="00ED0A05" w:rsidRDefault="00ED0A05" w:rsidP="00ED0A05">
      <w:pPr>
        <w:jc w:val="both"/>
        <w:rPr>
          <w:sz w:val="24"/>
        </w:rPr>
      </w:pPr>
    </w:p>
    <w:p w:rsidR="00ED0A05" w:rsidRPr="005E588D" w:rsidRDefault="0071794D" w:rsidP="00ED0A05">
      <w:pPr>
        <w:jc w:val="both"/>
        <w:rPr>
          <w:b/>
          <w:sz w:val="24"/>
        </w:rPr>
      </w:pPr>
      <w:r w:rsidRPr="0071794D">
        <w:rPr>
          <w:sz w:val="24"/>
        </w:rPr>
        <w:t>3.2.1</w:t>
      </w:r>
      <w:r w:rsidR="00ED0A05" w:rsidRPr="005E588D">
        <w:rPr>
          <w:b/>
          <w:sz w:val="24"/>
        </w:rPr>
        <w:tab/>
        <w:t>Kettering’s Multi Agency Hub</w:t>
      </w:r>
    </w:p>
    <w:p w:rsidR="00DE6BD9" w:rsidRPr="00ED0A05" w:rsidRDefault="00DE6BD9" w:rsidP="00ED0A05">
      <w:pPr>
        <w:jc w:val="both"/>
        <w:rPr>
          <w:sz w:val="24"/>
        </w:rPr>
      </w:pPr>
    </w:p>
    <w:p w:rsidR="00ED0A05" w:rsidRDefault="007C6E52" w:rsidP="00ED0A05">
      <w:pPr>
        <w:ind w:left="720"/>
        <w:jc w:val="both"/>
        <w:rPr>
          <w:sz w:val="24"/>
        </w:rPr>
      </w:pPr>
      <w:r>
        <w:rPr>
          <w:sz w:val="24"/>
        </w:rPr>
        <w:t>Members</w:t>
      </w:r>
      <w:r w:rsidR="00ED0A05" w:rsidRPr="00ED0A05">
        <w:rPr>
          <w:sz w:val="24"/>
        </w:rPr>
        <w:t xml:space="preserve"> are aware we have most public services operatin</w:t>
      </w:r>
      <w:r w:rsidR="00536227">
        <w:rPr>
          <w:sz w:val="24"/>
        </w:rPr>
        <w:t>g out of our Bowling Green Road</w:t>
      </w:r>
      <w:r w:rsidR="00ED0A05" w:rsidRPr="00ED0A05">
        <w:rPr>
          <w:sz w:val="24"/>
        </w:rPr>
        <w:t>/London Road building, Health</w:t>
      </w:r>
      <w:r w:rsidR="00536227">
        <w:rPr>
          <w:sz w:val="24"/>
        </w:rPr>
        <w:t>.</w:t>
      </w:r>
      <w:r w:rsidR="00ED0A05" w:rsidRPr="00ED0A05">
        <w:rPr>
          <w:sz w:val="24"/>
        </w:rPr>
        <w:t xml:space="preserve"> </w:t>
      </w:r>
      <w:proofErr w:type="gramStart"/>
      <w:r w:rsidR="00ED0A05" w:rsidRPr="00ED0A05">
        <w:rPr>
          <w:sz w:val="24"/>
        </w:rPr>
        <w:t>CAB</w:t>
      </w:r>
      <w:r w:rsidR="005E588D" w:rsidRPr="00ED0A05">
        <w:rPr>
          <w:sz w:val="24"/>
        </w:rPr>
        <w:t>, etc</w:t>
      </w:r>
      <w:r w:rsidR="00ED0A05" w:rsidRPr="00ED0A05">
        <w:rPr>
          <w:sz w:val="24"/>
        </w:rPr>
        <w:t>.</w:t>
      </w:r>
      <w:proofErr w:type="gramEnd"/>
      <w:r w:rsidR="00ED0A05" w:rsidRPr="00ED0A05">
        <w:rPr>
          <w:sz w:val="24"/>
        </w:rPr>
        <w:t xml:space="preserve"> In this context, the two key partners are the Police </w:t>
      </w:r>
      <w:r w:rsidR="00536227">
        <w:rPr>
          <w:sz w:val="24"/>
        </w:rPr>
        <w:t xml:space="preserve">and the Probation Service. The </w:t>
      </w:r>
      <w:r w:rsidR="00ED0A05" w:rsidRPr="00ED0A05">
        <w:rPr>
          <w:sz w:val="24"/>
        </w:rPr>
        <w:t>former are already based here, the latter will relocate their operations here very shortly.</w:t>
      </w:r>
    </w:p>
    <w:p w:rsidR="00ED0A05" w:rsidRPr="00ED0A05" w:rsidRDefault="00ED0A05" w:rsidP="00ED0A05">
      <w:pPr>
        <w:ind w:left="720"/>
        <w:jc w:val="both"/>
        <w:rPr>
          <w:sz w:val="24"/>
        </w:rPr>
      </w:pPr>
    </w:p>
    <w:p w:rsidR="00536227" w:rsidRDefault="00536227">
      <w:pPr>
        <w:rPr>
          <w:sz w:val="24"/>
        </w:rPr>
      </w:pPr>
      <w:r>
        <w:rPr>
          <w:sz w:val="24"/>
        </w:rPr>
        <w:br w:type="page"/>
      </w:r>
    </w:p>
    <w:p w:rsidR="00ED0A05" w:rsidRPr="005E588D" w:rsidRDefault="0071794D" w:rsidP="00ED0A05">
      <w:pPr>
        <w:jc w:val="both"/>
        <w:rPr>
          <w:b/>
          <w:sz w:val="24"/>
        </w:rPr>
      </w:pPr>
      <w:r w:rsidRPr="0071794D">
        <w:rPr>
          <w:sz w:val="24"/>
        </w:rPr>
        <w:lastRenderedPageBreak/>
        <w:t>3.2.2</w:t>
      </w:r>
      <w:r w:rsidR="00ED0A05" w:rsidRPr="005E588D">
        <w:rPr>
          <w:b/>
          <w:sz w:val="24"/>
        </w:rPr>
        <w:tab/>
        <w:t xml:space="preserve">Kettering’s Central Location and </w:t>
      </w:r>
      <w:r w:rsidR="00577209" w:rsidRPr="005E588D">
        <w:rPr>
          <w:b/>
          <w:sz w:val="24"/>
        </w:rPr>
        <w:t>Growth</w:t>
      </w:r>
    </w:p>
    <w:p w:rsidR="00DE6BD9" w:rsidRPr="00ED0A05" w:rsidRDefault="00DE6BD9" w:rsidP="00ED0A05">
      <w:pPr>
        <w:jc w:val="both"/>
        <w:rPr>
          <w:sz w:val="24"/>
        </w:rPr>
      </w:pPr>
    </w:p>
    <w:p w:rsidR="00ED0A05" w:rsidRDefault="00ED0A05" w:rsidP="00ED0A05">
      <w:pPr>
        <w:ind w:left="720"/>
        <w:jc w:val="both"/>
        <w:rPr>
          <w:sz w:val="24"/>
        </w:rPr>
      </w:pPr>
      <w:r w:rsidRPr="00ED0A05">
        <w:rPr>
          <w:sz w:val="24"/>
        </w:rPr>
        <w:t>Kettering is the largest town in North Northamptonshire and additionally is in the geograph</w:t>
      </w:r>
      <w:r w:rsidR="00536227">
        <w:rPr>
          <w:sz w:val="24"/>
        </w:rPr>
        <w:t>ic middle of all the towns the M</w:t>
      </w:r>
      <w:r w:rsidRPr="00ED0A05">
        <w:rPr>
          <w:sz w:val="24"/>
        </w:rPr>
        <w:t>agistrates</w:t>
      </w:r>
      <w:r w:rsidR="00536227">
        <w:rPr>
          <w:sz w:val="24"/>
        </w:rPr>
        <w:t>’</w:t>
      </w:r>
      <w:r w:rsidRPr="00ED0A05">
        <w:rPr>
          <w:sz w:val="24"/>
        </w:rPr>
        <w:t xml:space="preserve"> and County Court will serve. </w:t>
      </w:r>
      <w:proofErr w:type="gramStart"/>
      <w:r w:rsidRPr="00ED0A05">
        <w:rPr>
          <w:sz w:val="24"/>
        </w:rPr>
        <w:t>Thus</w:t>
      </w:r>
      <w:r w:rsidR="00536227">
        <w:rPr>
          <w:sz w:val="24"/>
        </w:rPr>
        <w:t>.</w:t>
      </w:r>
      <w:proofErr w:type="gramEnd"/>
      <w:r w:rsidRPr="00ED0A05">
        <w:rPr>
          <w:sz w:val="24"/>
        </w:rPr>
        <w:t xml:space="preserve"> </w:t>
      </w:r>
      <w:proofErr w:type="gramStart"/>
      <w:r w:rsidRPr="00ED0A05">
        <w:rPr>
          <w:sz w:val="24"/>
        </w:rPr>
        <w:t>public</w:t>
      </w:r>
      <w:proofErr w:type="gramEnd"/>
      <w:r w:rsidRPr="00ED0A05">
        <w:rPr>
          <w:sz w:val="24"/>
        </w:rPr>
        <w:t xml:space="preserve"> transport and access issues are best met in Kettering.</w:t>
      </w:r>
      <w:r w:rsidR="00577209">
        <w:rPr>
          <w:sz w:val="24"/>
        </w:rPr>
        <w:t xml:space="preserve"> Our response details the importance of our location and the impact of future growth.</w:t>
      </w:r>
    </w:p>
    <w:p w:rsidR="00ED0A05" w:rsidRPr="00ED0A05" w:rsidRDefault="00ED0A05" w:rsidP="00ED0A05">
      <w:pPr>
        <w:ind w:left="720"/>
        <w:jc w:val="both"/>
        <w:rPr>
          <w:sz w:val="24"/>
        </w:rPr>
      </w:pPr>
    </w:p>
    <w:p w:rsidR="00ED0A05" w:rsidRPr="005E588D" w:rsidRDefault="00ED0A05" w:rsidP="00ED0A05">
      <w:pPr>
        <w:jc w:val="both"/>
        <w:rPr>
          <w:b/>
          <w:sz w:val="24"/>
        </w:rPr>
      </w:pPr>
      <w:r w:rsidRPr="0071794D">
        <w:rPr>
          <w:sz w:val="24"/>
        </w:rPr>
        <w:t>3.2.</w:t>
      </w:r>
      <w:r w:rsidR="0071794D" w:rsidRPr="0071794D">
        <w:rPr>
          <w:sz w:val="24"/>
        </w:rPr>
        <w:t>3</w:t>
      </w:r>
      <w:r w:rsidRPr="005E588D">
        <w:rPr>
          <w:b/>
          <w:sz w:val="24"/>
        </w:rPr>
        <w:tab/>
      </w:r>
      <w:r w:rsidR="00577209" w:rsidRPr="005E588D">
        <w:rPr>
          <w:b/>
          <w:sz w:val="24"/>
        </w:rPr>
        <w:t xml:space="preserve">Impact on other public and voluntary sector services </w:t>
      </w:r>
    </w:p>
    <w:p w:rsidR="00DE6BD9" w:rsidRPr="00ED0A05" w:rsidRDefault="00DE6BD9" w:rsidP="00ED0A05">
      <w:pPr>
        <w:jc w:val="both"/>
        <w:rPr>
          <w:sz w:val="24"/>
        </w:rPr>
      </w:pPr>
    </w:p>
    <w:p w:rsidR="00ED0A05" w:rsidRDefault="00434D75" w:rsidP="00434D75">
      <w:pPr>
        <w:ind w:left="709" w:hanging="709"/>
        <w:jc w:val="both"/>
        <w:rPr>
          <w:sz w:val="24"/>
        </w:rPr>
      </w:pPr>
      <w:r>
        <w:rPr>
          <w:sz w:val="24"/>
        </w:rPr>
        <w:tab/>
      </w:r>
      <w:r w:rsidR="00ED0A05" w:rsidRPr="00ED0A05">
        <w:rPr>
          <w:sz w:val="24"/>
        </w:rPr>
        <w:t xml:space="preserve">The </w:t>
      </w:r>
      <w:r w:rsidR="00577209">
        <w:rPr>
          <w:sz w:val="24"/>
        </w:rPr>
        <w:t xml:space="preserve">response outlines how other public and voluntary sector services within </w:t>
      </w:r>
      <w:r w:rsidR="00577209">
        <w:rPr>
          <w:sz w:val="24"/>
        </w:rPr>
        <w:tab/>
        <w:t>Kettering would be affected by any closure. Significantly</w:t>
      </w:r>
      <w:r w:rsidR="00105FF3">
        <w:rPr>
          <w:sz w:val="24"/>
        </w:rPr>
        <w:t>,</w:t>
      </w:r>
      <w:r w:rsidR="00577209">
        <w:rPr>
          <w:sz w:val="24"/>
        </w:rPr>
        <w:t xml:space="preserve"> the p</w:t>
      </w:r>
      <w:r w:rsidR="00ED0A05" w:rsidRPr="00ED0A05">
        <w:rPr>
          <w:sz w:val="24"/>
        </w:rPr>
        <w:t xml:space="preserve">olice are locating </w:t>
      </w:r>
      <w:r w:rsidR="00577209">
        <w:rPr>
          <w:sz w:val="24"/>
        </w:rPr>
        <w:tab/>
      </w:r>
      <w:r w:rsidR="00ED0A05" w:rsidRPr="00ED0A05">
        <w:rPr>
          <w:sz w:val="24"/>
        </w:rPr>
        <w:t>their new criminal Justice Centre in Kettering</w:t>
      </w:r>
      <w:r w:rsidR="00ED0A05">
        <w:rPr>
          <w:sz w:val="24"/>
        </w:rPr>
        <w:t xml:space="preserve"> and therefore</w:t>
      </w:r>
      <w:r w:rsidR="00ED0A05" w:rsidRPr="00ED0A05">
        <w:rPr>
          <w:sz w:val="24"/>
        </w:rPr>
        <w:t>, a Kettering</w:t>
      </w:r>
      <w:r w:rsidR="00577209">
        <w:rPr>
          <w:sz w:val="24"/>
        </w:rPr>
        <w:t xml:space="preserve"> court </w:t>
      </w:r>
      <w:r w:rsidR="00ED0A05" w:rsidRPr="00ED0A05">
        <w:rPr>
          <w:sz w:val="24"/>
        </w:rPr>
        <w:t xml:space="preserve"> </w:t>
      </w:r>
      <w:r w:rsidR="00577209">
        <w:rPr>
          <w:sz w:val="24"/>
        </w:rPr>
        <w:tab/>
      </w:r>
      <w:r w:rsidR="00ED0A05" w:rsidRPr="00ED0A05">
        <w:rPr>
          <w:sz w:val="24"/>
        </w:rPr>
        <w:t>base would provide:-</w:t>
      </w:r>
    </w:p>
    <w:p w:rsidR="0071794D" w:rsidRDefault="0071794D" w:rsidP="00ED0A05">
      <w:pPr>
        <w:jc w:val="both"/>
        <w:rPr>
          <w:sz w:val="24"/>
        </w:rPr>
      </w:pPr>
    </w:p>
    <w:p w:rsidR="00ED0A05" w:rsidRDefault="00ED0A05" w:rsidP="00536227">
      <w:pPr>
        <w:numPr>
          <w:ilvl w:val="0"/>
          <w:numId w:val="25"/>
        </w:numPr>
        <w:ind w:left="1701" w:hanging="261"/>
        <w:jc w:val="both"/>
        <w:rPr>
          <w:sz w:val="24"/>
        </w:rPr>
      </w:pPr>
      <w:r w:rsidRPr="00ED0A05">
        <w:rPr>
          <w:sz w:val="24"/>
        </w:rPr>
        <w:t>A more accessible and convenient location for attendees of the court.</w:t>
      </w:r>
    </w:p>
    <w:p w:rsidR="00ED0A05" w:rsidRPr="00ED0A05" w:rsidRDefault="00ED0A05" w:rsidP="00536227">
      <w:pPr>
        <w:numPr>
          <w:ilvl w:val="0"/>
          <w:numId w:val="25"/>
        </w:numPr>
        <w:ind w:left="1701" w:hanging="261"/>
        <w:jc w:val="both"/>
        <w:rPr>
          <w:sz w:val="24"/>
        </w:rPr>
      </w:pPr>
      <w:r w:rsidRPr="00ED0A05">
        <w:rPr>
          <w:sz w:val="24"/>
        </w:rPr>
        <w:t>A venue where the key supporting public services – Police and Probation – are already on site facilitating maximum efficiency and co-ordination.</w:t>
      </w:r>
    </w:p>
    <w:p w:rsidR="00ED0A05" w:rsidRPr="00ED0A05" w:rsidRDefault="00ED0A05" w:rsidP="00ED0A05">
      <w:pPr>
        <w:jc w:val="both"/>
        <w:rPr>
          <w:sz w:val="24"/>
        </w:rPr>
      </w:pPr>
    </w:p>
    <w:p w:rsidR="005E588D" w:rsidRPr="005E588D" w:rsidRDefault="00ED0A05" w:rsidP="00ED0A05">
      <w:pPr>
        <w:jc w:val="both"/>
        <w:rPr>
          <w:b/>
          <w:sz w:val="24"/>
        </w:rPr>
      </w:pPr>
      <w:r w:rsidRPr="005E588D">
        <w:rPr>
          <w:b/>
          <w:sz w:val="24"/>
        </w:rPr>
        <w:t>3.3</w:t>
      </w:r>
      <w:r w:rsidRPr="005E588D">
        <w:rPr>
          <w:b/>
          <w:sz w:val="24"/>
        </w:rPr>
        <w:tab/>
        <w:t xml:space="preserve">The </w:t>
      </w:r>
      <w:r w:rsidR="005E588D" w:rsidRPr="005E588D">
        <w:rPr>
          <w:b/>
          <w:sz w:val="24"/>
        </w:rPr>
        <w:t xml:space="preserve">Offer to the Courts Service </w:t>
      </w:r>
    </w:p>
    <w:p w:rsidR="005E588D" w:rsidRDefault="005E588D" w:rsidP="00ED0A05">
      <w:pPr>
        <w:jc w:val="both"/>
        <w:rPr>
          <w:sz w:val="24"/>
        </w:rPr>
      </w:pPr>
    </w:p>
    <w:p w:rsidR="00ED0A05" w:rsidRDefault="00105FF3" w:rsidP="00ED0A05">
      <w:pPr>
        <w:jc w:val="both"/>
        <w:rPr>
          <w:sz w:val="24"/>
        </w:rPr>
      </w:pPr>
      <w:r>
        <w:rPr>
          <w:sz w:val="24"/>
        </w:rPr>
        <w:t>3.3.1</w:t>
      </w:r>
      <w:r>
        <w:rPr>
          <w:sz w:val="24"/>
        </w:rPr>
        <w:tab/>
        <w:t>The C</w:t>
      </w:r>
      <w:r w:rsidR="00ED0A05" w:rsidRPr="00ED0A05">
        <w:rPr>
          <w:sz w:val="24"/>
        </w:rPr>
        <w:t xml:space="preserve">ouncil has rooms and a council chamber already suitable and easily </w:t>
      </w:r>
      <w:r w:rsidR="00ED0A05">
        <w:rPr>
          <w:sz w:val="24"/>
        </w:rPr>
        <w:tab/>
      </w:r>
      <w:r w:rsidR="00ED0A05" w:rsidRPr="00ED0A05">
        <w:rPr>
          <w:sz w:val="24"/>
        </w:rPr>
        <w:t xml:space="preserve">adapted for formal hearings, tribunals and therefore perhaps some of the courts </w:t>
      </w:r>
      <w:r w:rsidR="00ED0A05">
        <w:rPr>
          <w:sz w:val="24"/>
        </w:rPr>
        <w:tab/>
      </w:r>
      <w:r w:rsidR="00ED0A05" w:rsidRPr="00ED0A05">
        <w:rPr>
          <w:sz w:val="24"/>
        </w:rPr>
        <w:t xml:space="preserve">outlined in the proposal. Kettering Borough Council is therefore in a good </w:t>
      </w:r>
      <w:r w:rsidR="00ED0A05">
        <w:rPr>
          <w:sz w:val="24"/>
        </w:rPr>
        <w:tab/>
      </w:r>
      <w:r w:rsidR="00ED0A05" w:rsidRPr="00ED0A05">
        <w:rPr>
          <w:sz w:val="24"/>
        </w:rPr>
        <w:t>position to respond to the consultation confirming,</w:t>
      </w:r>
    </w:p>
    <w:p w:rsidR="005D0A6F" w:rsidRPr="00ED0A05" w:rsidRDefault="005D0A6F" w:rsidP="00ED0A05">
      <w:pPr>
        <w:jc w:val="both"/>
        <w:rPr>
          <w:sz w:val="24"/>
        </w:rPr>
      </w:pPr>
    </w:p>
    <w:p w:rsidR="005D0A6F" w:rsidRPr="005D0A6F" w:rsidRDefault="00ED0A05" w:rsidP="005D0A6F">
      <w:pPr>
        <w:pStyle w:val="ListParagraph"/>
        <w:numPr>
          <w:ilvl w:val="1"/>
          <w:numId w:val="38"/>
        </w:numPr>
        <w:jc w:val="both"/>
        <w:rPr>
          <w:sz w:val="24"/>
        </w:rPr>
      </w:pPr>
      <w:r w:rsidRPr="005D0A6F">
        <w:rPr>
          <w:sz w:val="24"/>
        </w:rPr>
        <w:t>the key objective is to retain a County and Magistrates</w:t>
      </w:r>
      <w:r w:rsidR="00536227">
        <w:rPr>
          <w:sz w:val="24"/>
        </w:rPr>
        <w:t>’</w:t>
      </w:r>
      <w:r w:rsidRPr="005D0A6F">
        <w:rPr>
          <w:sz w:val="24"/>
        </w:rPr>
        <w:t xml:space="preserve"> court in Kettering</w:t>
      </w:r>
      <w:r w:rsidR="005D0A6F" w:rsidRPr="005D0A6F">
        <w:rPr>
          <w:sz w:val="24"/>
        </w:rPr>
        <w:t>,</w:t>
      </w:r>
      <w:r w:rsidR="00682DB0">
        <w:rPr>
          <w:sz w:val="24"/>
        </w:rPr>
        <w:t xml:space="preserve"> </w:t>
      </w:r>
    </w:p>
    <w:p w:rsidR="00ED0A05" w:rsidRDefault="005D0A6F" w:rsidP="005D0A6F">
      <w:pPr>
        <w:pStyle w:val="ListParagraph"/>
        <w:numPr>
          <w:ilvl w:val="1"/>
          <w:numId w:val="38"/>
        </w:numPr>
        <w:jc w:val="both"/>
        <w:rPr>
          <w:sz w:val="24"/>
        </w:rPr>
      </w:pPr>
      <w:r w:rsidRPr="005D0A6F">
        <w:rPr>
          <w:sz w:val="24"/>
        </w:rPr>
        <w:t>t</w:t>
      </w:r>
      <w:r w:rsidR="00ED0A05" w:rsidRPr="005D0A6F">
        <w:rPr>
          <w:sz w:val="24"/>
        </w:rPr>
        <w:t xml:space="preserve">o </w:t>
      </w:r>
      <w:r w:rsidR="00536227">
        <w:rPr>
          <w:sz w:val="24"/>
        </w:rPr>
        <w:t>make proposals regarding how Kettering Borough Council</w:t>
      </w:r>
      <w:r w:rsidR="00ED0A05" w:rsidRPr="005D0A6F">
        <w:rPr>
          <w:sz w:val="24"/>
        </w:rPr>
        <w:t xml:space="preserve"> can work in partnership with the MOJ to </w:t>
      </w:r>
      <w:r w:rsidR="00536227">
        <w:rPr>
          <w:sz w:val="24"/>
        </w:rPr>
        <w:t>utilise KBC estate to meet their</w:t>
      </w:r>
      <w:r w:rsidR="00ED0A05" w:rsidRPr="005D0A6F">
        <w:rPr>
          <w:sz w:val="24"/>
        </w:rPr>
        <w:t xml:space="preserve"> key principles outlined in Appendix 1</w:t>
      </w:r>
    </w:p>
    <w:p w:rsidR="00682DB0" w:rsidRDefault="00682DB0" w:rsidP="00682DB0">
      <w:pPr>
        <w:jc w:val="both"/>
        <w:rPr>
          <w:sz w:val="24"/>
        </w:rPr>
      </w:pPr>
    </w:p>
    <w:p w:rsidR="00682DB0" w:rsidRPr="00682DB0" w:rsidRDefault="00682DB0" w:rsidP="00105FF3">
      <w:pPr>
        <w:ind w:left="709" w:hanging="709"/>
        <w:jc w:val="both"/>
        <w:rPr>
          <w:sz w:val="24"/>
        </w:rPr>
      </w:pPr>
      <w:r>
        <w:rPr>
          <w:sz w:val="24"/>
        </w:rPr>
        <w:t>3.3.2</w:t>
      </w:r>
      <w:r>
        <w:rPr>
          <w:sz w:val="24"/>
        </w:rPr>
        <w:tab/>
        <w:t>The local MP has already presented a paper t</w:t>
      </w:r>
      <w:r w:rsidR="00434D75">
        <w:rPr>
          <w:sz w:val="24"/>
        </w:rPr>
        <w:t xml:space="preserve">o the relevant minister making </w:t>
      </w:r>
      <w:r>
        <w:rPr>
          <w:sz w:val="24"/>
        </w:rPr>
        <w:t xml:space="preserve">these points and one outcome has been </w:t>
      </w:r>
      <w:r w:rsidR="00E14811">
        <w:rPr>
          <w:sz w:val="24"/>
        </w:rPr>
        <w:t>to secure</w:t>
      </w:r>
      <w:r w:rsidR="00434D75">
        <w:rPr>
          <w:sz w:val="24"/>
        </w:rPr>
        <w:t xml:space="preserve"> time with officials at </w:t>
      </w:r>
      <w:r>
        <w:rPr>
          <w:sz w:val="24"/>
        </w:rPr>
        <w:t>a regional level to present our response and our offer for partnership working.</w:t>
      </w:r>
    </w:p>
    <w:p w:rsidR="00ED0A05" w:rsidRPr="00ED0A05" w:rsidRDefault="00ED0A05" w:rsidP="00ED0A05">
      <w:pPr>
        <w:jc w:val="both"/>
        <w:rPr>
          <w:sz w:val="24"/>
        </w:rPr>
      </w:pPr>
    </w:p>
    <w:p w:rsidR="00ED0A05" w:rsidRPr="00ED0A05" w:rsidRDefault="00ED0A05" w:rsidP="002160BC">
      <w:pPr>
        <w:ind w:left="709" w:hanging="709"/>
        <w:jc w:val="both"/>
        <w:rPr>
          <w:sz w:val="24"/>
        </w:rPr>
      </w:pPr>
      <w:r w:rsidRPr="009123FD">
        <w:rPr>
          <w:sz w:val="24"/>
        </w:rPr>
        <w:t>3.4</w:t>
      </w:r>
      <w:r w:rsidRPr="009123FD">
        <w:rPr>
          <w:sz w:val="24"/>
        </w:rPr>
        <w:tab/>
      </w:r>
      <w:r w:rsidR="00105FF3">
        <w:rPr>
          <w:sz w:val="24"/>
        </w:rPr>
        <w:tab/>
      </w:r>
      <w:r w:rsidRPr="009123FD">
        <w:rPr>
          <w:sz w:val="24"/>
        </w:rPr>
        <w:t xml:space="preserve">The </w:t>
      </w:r>
      <w:r w:rsidR="002160BC">
        <w:rPr>
          <w:sz w:val="24"/>
        </w:rPr>
        <w:t>draft consultation response is</w:t>
      </w:r>
      <w:r w:rsidRPr="009123FD">
        <w:rPr>
          <w:sz w:val="24"/>
        </w:rPr>
        <w:t xml:space="preserve"> attached at Appendix 2, </w:t>
      </w:r>
      <w:r w:rsidR="002160BC">
        <w:rPr>
          <w:sz w:val="24"/>
        </w:rPr>
        <w:t>and the Committee is invited to make any observations and comments, prior to consideration of the response by the Executive at its meeting on 9</w:t>
      </w:r>
      <w:r w:rsidR="002160BC" w:rsidRPr="002160BC">
        <w:rPr>
          <w:sz w:val="24"/>
          <w:vertAlign w:val="superscript"/>
        </w:rPr>
        <w:t>th</w:t>
      </w:r>
      <w:r w:rsidR="002160BC">
        <w:rPr>
          <w:sz w:val="24"/>
        </w:rPr>
        <w:t xml:space="preserve"> September.</w:t>
      </w:r>
    </w:p>
    <w:p w:rsidR="00ED0A05" w:rsidRPr="00ED0A05" w:rsidRDefault="00ED0A05" w:rsidP="00ED0A05">
      <w:pPr>
        <w:jc w:val="both"/>
        <w:rPr>
          <w:sz w:val="24"/>
        </w:rPr>
      </w:pPr>
    </w:p>
    <w:p w:rsidR="00ED0A05" w:rsidRPr="00ED0A05" w:rsidRDefault="00ED0A05" w:rsidP="00ED0A05">
      <w:pPr>
        <w:rPr>
          <w:b/>
          <w:sz w:val="24"/>
        </w:rPr>
      </w:pPr>
      <w:r w:rsidRPr="00ED0A05">
        <w:rPr>
          <w:b/>
          <w:sz w:val="24"/>
        </w:rPr>
        <w:t>4</w:t>
      </w:r>
      <w:r w:rsidR="0073365A">
        <w:rPr>
          <w:b/>
          <w:sz w:val="24"/>
        </w:rPr>
        <w:t>.</w:t>
      </w:r>
      <w:r w:rsidRPr="00ED0A05">
        <w:rPr>
          <w:b/>
          <w:sz w:val="24"/>
        </w:rPr>
        <w:t xml:space="preserve"> </w:t>
      </w:r>
      <w:r w:rsidRPr="00ED0A05">
        <w:rPr>
          <w:b/>
          <w:sz w:val="24"/>
        </w:rPr>
        <w:tab/>
      </w:r>
      <w:r w:rsidRPr="00ED0A05">
        <w:rPr>
          <w:b/>
          <w:sz w:val="24"/>
          <w:u w:val="single"/>
        </w:rPr>
        <w:t>CONSULTATION AND CUSTOMER IMPACT</w:t>
      </w:r>
    </w:p>
    <w:p w:rsidR="00ED0A05" w:rsidRPr="00ED0A05" w:rsidRDefault="00ED0A05" w:rsidP="00ED0A05">
      <w:pPr>
        <w:jc w:val="both"/>
        <w:rPr>
          <w:b/>
          <w:sz w:val="24"/>
        </w:rPr>
      </w:pPr>
    </w:p>
    <w:p w:rsidR="00ED0A05" w:rsidRDefault="00ED0A05" w:rsidP="00ED0A05">
      <w:pPr>
        <w:jc w:val="both"/>
        <w:rPr>
          <w:sz w:val="24"/>
        </w:rPr>
      </w:pPr>
      <w:r>
        <w:rPr>
          <w:sz w:val="24"/>
        </w:rPr>
        <w:t>4.1</w:t>
      </w:r>
      <w:r>
        <w:rPr>
          <w:sz w:val="24"/>
        </w:rPr>
        <w:tab/>
      </w:r>
      <w:r w:rsidRPr="00ED0A05">
        <w:rPr>
          <w:sz w:val="24"/>
        </w:rPr>
        <w:t xml:space="preserve">Kettering Borough Council is being consulted. In preparing this response </w:t>
      </w:r>
      <w:r>
        <w:rPr>
          <w:sz w:val="24"/>
        </w:rPr>
        <w:tab/>
      </w:r>
      <w:r w:rsidRPr="00ED0A05">
        <w:rPr>
          <w:sz w:val="24"/>
        </w:rPr>
        <w:t xml:space="preserve">discussions have or are due to be held with magistrates locally, as well as with </w:t>
      </w:r>
      <w:r>
        <w:rPr>
          <w:sz w:val="24"/>
        </w:rPr>
        <w:tab/>
      </w:r>
      <w:r w:rsidRPr="00ED0A05">
        <w:rPr>
          <w:sz w:val="24"/>
        </w:rPr>
        <w:t xml:space="preserve">regional representatives of </w:t>
      </w:r>
      <w:r w:rsidR="00807013">
        <w:rPr>
          <w:sz w:val="24"/>
        </w:rPr>
        <w:t>HM Courts and Tribunal Service</w:t>
      </w:r>
      <w:r w:rsidRPr="00ED0A05">
        <w:rPr>
          <w:sz w:val="24"/>
        </w:rPr>
        <w:t xml:space="preserve">. Some of those </w:t>
      </w:r>
      <w:r w:rsidR="00807013">
        <w:rPr>
          <w:sz w:val="24"/>
        </w:rPr>
        <w:tab/>
      </w:r>
      <w:r w:rsidRPr="00ED0A05">
        <w:rPr>
          <w:sz w:val="24"/>
        </w:rPr>
        <w:t xml:space="preserve">discussions will take place </w:t>
      </w:r>
      <w:r>
        <w:rPr>
          <w:sz w:val="24"/>
        </w:rPr>
        <w:tab/>
      </w:r>
      <w:r w:rsidRPr="00ED0A05">
        <w:rPr>
          <w:sz w:val="24"/>
        </w:rPr>
        <w:t xml:space="preserve">between the publication of this report and the date of </w:t>
      </w:r>
      <w:r w:rsidR="00807013">
        <w:rPr>
          <w:sz w:val="24"/>
        </w:rPr>
        <w:tab/>
      </w:r>
      <w:r w:rsidRPr="00ED0A05">
        <w:rPr>
          <w:sz w:val="24"/>
        </w:rPr>
        <w:t>the meeting where a verbal update will be made.</w:t>
      </w:r>
    </w:p>
    <w:p w:rsidR="0071794D" w:rsidRDefault="0071794D" w:rsidP="00ED0A05">
      <w:pPr>
        <w:jc w:val="both"/>
        <w:rPr>
          <w:sz w:val="24"/>
        </w:rPr>
      </w:pPr>
    </w:p>
    <w:p w:rsidR="00ED0A05" w:rsidRPr="0059632C" w:rsidRDefault="00ED0A05" w:rsidP="00ED0A05">
      <w:pPr>
        <w:jc w:val="both"/>
        <w:rPr>
          <w:b/>
          <w:sz w:val="24"/>
          <w:u w:val="single"/>
        </w:rPr>
      </w:pPr>
      <w:r>
        <w:rPr>
          <w:b/>
          <w:sz w:val="24"/>
        </w:rPr>
        <w:t>5</w:t>
      </w:r>
      <w:r w:rsidR="0073365A">
        <w:rPr>
          <w:b/>
          <w:sz w:val="24"/>
        </w:rPr>
        <w:t>.</w:t>
      </w:r>
      <w:r w:rsidRPr="00ED0A05">
        <w:rPr>
          <w:b/>
          <w:sz w:val="24"/>
        </w:rPr>
        <w:tab/>
      </w:r>
      <w:r w:rsidR="0059632C" w:rsidRPr="0059632C">
        <w:rPr>
          <w:b/>
          <w:sz w:val="24"/>
          <w:u w:val="single"/>
        </w:rPr>
        <w:t>POLICY IMPLICATIONS</w:t>
      </w:r>
    </w:p>
    <w:p w:rsidR="00ED0A05" w:rsidRDefault="00ED0A05" w:rsidP="00ED0A05">
      <w:pPr>
        <w:jc w:val="both"/>
        <w:rPr>
          <w:sz w:val="24"/>
        </w:rPr>
      </w:pPr>
      <w:r>
        <w:rPr>
          <w:sz w:val="24"/>
        </w:rPr>
        <w:tab/>
      </w:r>
    </w:p>
    <w:p w:rsidR="00ED0A05" w:rsidRPr="00ED0A05" w:rsidRDefault="00ED0A05" w:rsidP="00105FF3">
      <w:pPr>
        <w:ind w:left="709" w:hanging="709"/>
        <w:jc w:val="both"/>
        <w:rPr>
          <w:sz w:val="24"/>
        </w:rPr>
      </w:pPr>
      <w:r>
        <w:rPr>
          <w:sz w:val="24"/>
        </w:rPr>
        <w:t>5.1</w:t>
      </w:r>
      <w:r>
        <w:rPr>
          <w:sz w:val="24"/>
        </w:rPr>
        <w:tab/>
      </w:r>
      <w:r w:rsidRPr="00ED0A05">
        <w:rPr>
          <w:sz w:val="24"/>
        </w:rPr>
        <w:t>One of the Council</w:t>
      </w:r>
      <w:r w:rsidR="00105FF3">
        <w:rPr>
          <w:sz w:val="24"/>
        </w:rPr>
        <w:t>’</w:t>
      </w:r>
      <w:r w:rsidRPr="00ED0A05">
        <w:rPr>
          <w:sz w:val="24"/>
        </w:rPr>
        <w:t xml:space="preserve">s priorities is to develop a joined up offer of public services in </w:t>
      </w:r>
      <w:r>
        <w:rPr>
          <w:sz w:val="24"/>
        </w:rPr>
        <w:tab/>
      </w:r>
      <w:r w:rsidRPr="00ED0A05">
        <w:rPr>
          <w:sz w:val="24"/>
        </w:rPr>
        <w:t xml:space="preserve">one location, to reap benefits for the customer by simplifying and joining up </w:t>
      </w:r>
      <w:r>
        <w:rPr>
          <w:sz w:val="24"/>
        </w:rPr>
        <w:tab/>
      </w:r>
      <w:r w:rsidRPr="00ED0A05">
        <w:rPr>
          <w:sz w:val="24"/>
        </w:rPr>
        <w:t xml:space="preserve">services, as well as locating them in one place, sharing facilities and reducing </w:t>
      </w:r>
      <w:r>
        <w:rPr>
          <w:sz w:val="24"/>
        </w:rPr>
        <w:tab/>
      </w:r>
      <w:r w:rsidRPr="00ED0A05">
        <w:rPr>
          <w:sz w:val="24"/>
        </w:rPr>
        <w:t>overall public sector costs.</w:t>
      </w:r>
    </w:p>
    <w:p w:rsidR="00ED0A05" w:rsidRDefault="00ED0A05" w:rsidP="00BC05AF">
      <w:pPr>
        <w:ind w:left="709" w:hanging="709"/>
        <w:jc w:val="both"/>
        <w:rPr>
          <w:sz w:val="24"/>
        </w:rPr>
      </w:pPr>
      <w:r>
        <w:rPr>
          <w:sz w:val="24"/>
        </w:rPr>
        <w:tab/>
      </w:r>
    </w:p>
    <w:p w:rsidR="00ED0A05" w:rsidRPr="00ED0A05" w:rsidRDefault="00ED0A05" w:rsidP="00BC05AF">
      <w:pPr>
        <w:ind w:left="709" w:hanging="709"/>
        <w:jc w:val="both"/>
        <w:rPr>
          <w:sz w:val="24"/>
        </w:rPr>
      </w:pPr>
      <w:r>
        <w:rPr>
          <w:sz w:val="24"/>
        </w:rPr>
        <w:t>5.2</w:t>
      </w:r>
      <w:r>
        <w:rPr>
          <w:sz w:val="24"/>
        </w:rPr>
        <w:tab/>
      </w:r>
      <w:r w:rsidRPr="00ED0A05">
        <w:rPr>
          <w:sz w:val="24"/>
        </w:rPr>
        <w:t xml:space="preserve">A further priority is to support and enable the development of the town centre as </w:t>
      </w:r>
      <w:r>
        <w:rPr>
          <w:sz w:val="24"/>
        </w:rPr>
        <w:tab/>
      </w:r>
      <w:r w:rsidRPr="00ED0A05">
        <w:rPr>
          <w:sz w:val="24"/>
        </w:rPr>
        <w:t xml:space="preserve">a retail, leisure and public service hub. Loss of the magistrates’ and County </w:t>
      </w:r>
      <w:r>
        <w:rPr>
          <w:sz w:val="24"/>
        </w:rPr>
        <w:tab/>
      </w:r>
      <w:r w:rsidRPr="00ED0A05">
        <w:rPr>
          <w:sz w:val="24"/>
        </w:rPr>
        <w:t>Court services in Kettering would damage</w:t>
      </w:r>
      <w:r w:rsidR="00BC05AF">
        <w:rPr>
          <w:sz w:val="24"/>
        </w:rPr>
        <w:t xml:space="preserve"> the town centre by fragmenting</w:t>
      </w:r>
      <w:r w:rsidRPr="00ED0A05">
        <w:rPr>
          <w:sz w:val="24"/>
        </w:rPr>
        <w:t xml:space="preserve"> that </w:t>
      </w:r>
      <w:r>
        <w:rPr>
          <w:sz w:val="24"/>
        </w:rPr>
        <w:tab/>
      </w:r>
      <w:r w:rsidRPr="00ED0A05">
        <w:rPr>
          <w:sz w:val="24"/>
        </w:rPr>
        <w:t>public service offer.</w:t>
      </w:r>
    </w:p>
    <w:p w:rsidR="00ED0A05" w:rsidRPr="00ED0A05" w:rsidRDefault="00ED0A05" w:rsidP="00ED0A05">
      <w:pPr>
        <w:jc w:val="both"/>
        <w:rPr>
          <w:sz w:val="24"/>
        </w:rPr>
      </w:pPr>
    </w:p>
    <w:p w:rsidR="00ED0A05" w:rsidRDefault="00ED0A05" w:rsidP="00ED0A05">
      <w:pPr>
        <w:jc w:val="both"/>
        <w:rPr>
          <w:b/>
          <w:sz w:val="24"/>
        </w:rPr>
      </w:pPr>
      <w:r>
        <w:rPr>
          <w:b/>
          <w:sz w:val="24"/>
        </w:rPr>
        <w:t>6</w:t>
      </w:r>
      <w:r w:rsidR="00F27F86">
        <w:rPr>
          <w:b/>
          <w:sz w:val="24"/>
        </w:rPr>
        <w:t>.</w:t>
      </w:r>
      <w:r w:rsidRPr="00ED0A05">
        <w:rPr>
          <w:b/>
          <w:sz w:val="24"/>
        </w:rPr>
        <w:tab/>
      </w:r>
      <w:r w:rsidR="0059632C" w:rsidRPr="0059632C">
        <w:rPr>
          <w:b/>
          <w:sz w:val="24"/>
          <w:u w:val="single"/>
        </w:rPr>
        <w:t>USE OF RESOURCES</w:t>
      </w:r>
      <w:r w:rsidRPr="00ED0A05">
        <w:rPr>
          <w:b/>
          <w:sz w:val="24"/>
        </w:rPr>
        <w:t xml:space="preserve"> </w:t>
      </w:r>
    </w:p>
    <w:p w:rsidR="00ED0A05" w:rsidRDefault="00ED0A05" w:rsidP="00ED0A05">
      <w:pPr>
        <w:jc w:val="both"/>
        <w:rPr>
          <w:b/>
          <w:sz w:val="24"/>
        </w:rPr>
      </w:pPr>
    </w:p>
    <w:p w:rsidR="00ED0A05" w:rsidRPr="00ED0A05" w:rsidRDefault="00ED0A05" w:rsidP="00BC05AF">
      <w:pPr>
        <w:ind w:left="567" w:hanging="567"/>
        <w:jc w:val="both"/>
        <w:rPr>
          <w:sz w:val="24"/>
        </w:rPr>
      </w:pPr>
      <w:r w:rsidRPr="00ED0A05">
        <w:rPr>
          <w:sz w:val="24"/>
        </w:rPr>
        <w:t>6.1</w:t>
      </w:r>
      <w:r>
        <w:rPr>
          <w:b/>
          <w:sz w:val="24"/>
        </w:rPr>
        <w:tab/>
      </w:r>
      <w:r w:rsidR="00BC05AF">
        <w:rPr>
          <w:b/>
          <w:sz w:val="24"/>
        </w:rPr>
        <w:tab/>
      </w:r>
      <w:r w:rsidRPr="00ED0A05">
        <w:rPr>
          <w:sz w:val="24"/>
        </w:rPr>
        <w:t xml:space="preserve">Closure of the courts service in Kettering would increase costs for this Council </w:t>
      </w:r>
      <w:r>
        <w:rPr>
          <w:sz w:val="24"/>
        </w:rPr>
        <w:tab/>
      </w:r>
      <w:r w:rsidRPr="00ED0A05">
        <w:rPr>
          <w:sz w:val="24"/>
        </w:rPr>
        <w:t xml:space="preserve">in time and travel. The same strain would be placed on other public sector </w:t>
      </w:r>
      <w:r>
        <w:rPr>
          <w:sz w:val="24"/>
        </w:rPr>
        <w:tab/>
      </w:r>
      <w:r w:rsidRPr="00ED0A05">
        <w:rPr>
          <w:sz w:val="24"/>
        </w:rPr>
        <w:t xml:space="preserve">service, the police, Youth Offending Service etc., voluntary and community </w:t>
      </w:r>
      <w:r>
        <w:rPr>
          <w:sz w:val="24"/>
        </w:rPr>
        <w:tab/>
      </w:r>
      <w:r w:rsidRPr="00ED0A05">
        <w:rPr>
          <w:sz w:val="24"/>
        </w:rPr>
        <w:t>sector advice services, solicitors, witnesses and victims of crime.</w:t>
      </w:r>
    </w:p>
    <w:p w:rsidR="00D13152" w:rsidRDefault="00D13152" w:rsidP="002E290E">
      <w:pPr>
        <w:jc w:val="both"/>
        <w:rPr>
          <w:sz w:val="24"/>
          <w:u w:val="single"/>
        </w:rPr>
      </w:pPr>
    </w:p>
    <w:p w:rsidR="002E290E" w:rsidRPr="002E290E" w:rsidRDefault="002E290E" w:rsidP="002E290E">
      <w:pPr>
        <w:ind w:left="567" w:hanging="567"/>
        <w:jc w:val="both"/>
        <w:rPr>
          <w:sz w:val="24"/>
        </w:rPr>
      </w:pPr>
      <w:r>
        <w:rPr>
          <w:sz w:val="24"/>
        </w:rPr>
        <w:tab/>
      </w:r>
    </w:p>
    <w:p w:rsidR="00465AB7" w:rsidRDefault="0059632C" w:rsidP="002E290E">
      <w:pPr>
        <w:jc w:val="both"/>
        <w:rPr>
          <w:sz w:val="24"/>
          <w:u w:val="single"/>
        </w:rPr>
      </w:pPr>
      <w:r>
        <w:rPr>
          <w:noProof/>
          <w:sz w:val="24"/>
          <w:lang w:eastAsia="en-GB"/>
        </w:rPr>
        <mc:AlternateContent>
          <mc:Choice Requires="wps">
            <w:drawing>
              <wp:inline distT="0" distB="0" distL="0" distR="0">
                <wp:extent cx="5989320" cy="1449070"/>
                <wp:effectExtent l="0" t="0" r="11430" b="2540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49070"/>
                        </a:xfrm>
                        <a:prstGeom prst="rect">
                          <a:avLst/>
                        </a:prstGeom>
                        <a:solidFill>
                          <a:srgbClr val="FFFFFF"/>
                        </a:solidFill>
                        <a:ln w="9525">
                          <a:solidFill>
                            <a:srgbClr val="000000"/>
                          </a:solidFill>
                          <a:miter lim="800000"/>
                          <a:headEnd/>
                          <a:tailEnd/>
                        </a:ln>
                      </wps:spPr>
                      <wps:txbx>
                        <w:txbxContent>
                          <w:p w:rsidR="002E290E" w:rsidRPr="000816DF" w:rsidRDefault="0073365A" w:rsidP="0073365A">
                            <w:pPr>
                              <w:ind w:left="-142"/>
                              <w:jc w:val="both"/>
                              <w:rPr>
                                <w:sz w:val="24"/>
                                <w:u w:val="single"/>
                              </w:rPr>
                            </w:pPr>
                            <w:r>
                              <w:rPr>
                                <w:b/>
                                <w:sz w:val="24"/>
                              </w:rPr>
                              <w:t xml:space="preserve"> 7</w:t>
                            </w:r>
                            <w:r w:rsidR="00F27F86">
                              <w:rPr>
                                <w:b/>
                                <w:sz w:val="24"/>
                              </w:rPr>
                              <w:t>.</w:t>
                            </w:r>
                            <w:r>
                              <w:rPr>
                                <w:b/>
                                <w:sz w:val="24"/>
                              </w:rPr>
                              <w:t xml:space="preserve">      </w:t>
                            </w:r>
                            <w:r w:rsidR="002E290E" w:rsidRPr="002E290E">
                              <w:rPr>
                                <w:b/>
                                <w:sz w:val="24"/>
                                <w:u w:val="single"/>
                              </w:rPr>
                              <w:t>RECOMMENDATION</w:t>
                            </w:r>
                          </w:p>
                          <w:p w:rsidR="000816DF" w:rsidRDefault="000816DF" w:rsidP="000816DF">
                            <w:pPr>
                              <w:jc w:val="both"/>
                              <w:rPr>
                                <w:b/>
                                <w:sz w:val="24"/>
                                <w:u w:val="single"/>
                              </w:rPr>
                            </w:pPr>
                          </w:p>
                          <w:p w:rsidR="002E290E" w:rsidRPr="000816DF" w:rsidRDefault="00BC05AF" w:rsidP="00BC05AF">
                            <w:pPr>
                              <w:ind w:left="567" w:hanging="567"/>
                              <w:jc w:val="both"/>
                              <w:rPr>
                                <w:sz w:val="24"/>
                              </w:rPr>
                            </w:pPr>
                            <w:r>
                              <w:rPr>
                                <w:sz w:val="24"/>
                              </w:rPr>
                              <w:tab/>
                              <w:t xml:space="preserve">The </w:t>
                            </w:r>
                            <w:r w:rsidR="002160BC">
                              <w:rPr>
                                <w:sz w:val="24"/>
                              </w:rPr>
                              <w:t xml:space="preserve">Committee is invited to comment on the </w:t>
                            </w:r>
                            <w:r w:rsidR="000816DF" w:rsidRPr="000816DF">
                              <w:rPr>
                                <w:sz w:val="24"/>
                              </w:rPr>
                              <w:t xml:space="preserve">attached </w:t>
                            </w:r>
                            <w:r w:rsidR="002160BC">
                              <w:rPr>
                                <w:sz w:val="24"/>
                              </w:rPr>
                              <w:t xml:space="preserve">draft </w:t>
                            </w:r>
                            <w:r w:rsidR="006E0B2F">
                              <w:rPr>
                                <w:sz w:val="24"/>
                              </w:rPr>
                              <w:t>consultation response.</w:t>
                            </w:r>
                          </w:p>
                          <w:p w:rsidR="002E290E" w:rsidRPr="000816DF" w:rsidRDefault="002E290E" w:rsidP="00BC05AF">
                            <w:pPr>
                              <w:spacing w:afterLines="50" w:after="120"/>
                              <w:ind w:left="567" w:hanging="567"/>
                              <w:jc w:val="both"/>
                              <w:rPr>
                                <w:sz w:val="24"/>
                              </w:rPr>
                            </w:pPr>
                            <w:r w:rsidRPr="000816DF">
                              <w:rPr>
                                <w:sz w:val="24"/>
                              </w:rPr>
                              <w:tab/>
                            </w:r>
                          </w:p>
                        </w:txbxContent>
                      </wps:txbx>
                      <wps:bodyPr rot="0" vert="horz" wrap="square" lIns="91440" tIns="45720" rIns="91440" bIns="45720" anchor="t" anchorCtr="0" upright="1">
                        <a:spAutoFit/>
                      </wps:bodyPr>
                    </wps:wsp>
                  </a:graphicData>
                </a:graphic>
              </wp:inline>
            </w:drawing>
          </mc:Choice>
          <mc:Fallback>
            <w:pict>
              <v:shape id="Text Box 3" o:spid="_x0000_s1027" type="#_x0000_t202" style="width:471.6pt;height:1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Q9LAIAAFgEAAAOAAAAZHJzL2Uyb0RvYy54bWysVNuO2yAQfa/Uf0C8N3aySTex4qy22aaq&#10;tL1Iu/0AjLGNihkKJHb69TtgJ7XaPlX1AwJmOJw5Z/D2rm8VOQnrJOiczmcpJUJzKKWuc/rt+fBm&#10;TYnzTJdMgRY5PQtH73avX207k4kFNKBKYQmCaJd1JqeN9yZLEscb0TI3AyM0BiuwLfO4tHVSWtYh&#10;equSRZq+TTqwpbHAhXO4+zAE6S7iV5Xg/ktVOeGJyily83G0cSzCmOy2LKstM43kIw32DyxaJjVe&#10;eoV6YJ6Ro5V/QLWSW3BQ+RmHNoGqklzEGrCaefpbNU8NMyLWguI4c5XJ/T9Y/vn01RJZoneUaNai&#10;Rc+i9+Qd9OQmqNMZl2HSk8E03+N2yAyVOvMI/LsjGvYN07W4txa6RrAS2c3DyWRydMBxAaToPkGJ&#10;17CjhwjUV7YNgCgGQXR06Xx1JlDhuLnarDc3CwxxjM2Xy016G71LWHY5bqzzHwS0JExyatH6CM9O&#10;j84HOiy7pET6oGR5kErFha2LvbLkxLBNDvGLFWCV0zSlSZfTzWqxGhSYxtwUIo3f3yBa6bHflWxz&#10;ur4msSzo9l6XsRs9k2qYI2WlRyGDdoOKvi/60bHRnwLKMyprYWhvfI44acD+pKTD1s6p+3FkVlCi&#10;Pmp0Z4MChrcQF8vVbdDVTiPFNMI0R6icekqG6d4P7+dorKwbvOnSD/fo6EFGrYP1A6uRPrZvtGB8&#10;auF9TNcx69cPYfcCAAD//wMAUEsDBBQABgAIAAAAIQAW6zY43AAAAAUBAAAPAAAAZHJzL2Rvd25y&#10;ZXYueG1sTI/BTsMwEETvSPyDtUjcqIOBqoQ4VUXVM6VFQtwcextHjddp7KYpX4/pBS4rjWY087aY&#10;j65lA/ah8SThfpIBQ9LeNFRL+Niu7mbAQlRkVOsJJZwxwLy8vipUbvyJ3nHYxJqlEgq5kmBj7HLO&#10;g7boVJj4Dil5O987FZPsa256dUrlruUiy6bcqYbSglUdvlrU+83RSQjL9aHTu3W1t+b8/bYcnvTn&#10;6kvK25tx8QIs4hj/wvCLn9ChTEyVP5IJrJWQHomXm7znxwcBrJIgxEwALwv+n778AQAA//8DAFBL&#10;AQItABQABgAIAAAAIQC2gziS/gAAAOEBAAATAAAAAAAAAAAAAAAAAAAAAABbQ29udGVudF9UeXBl&#10;c10ueG1sUEsBAi0AFAAGAAgAAAAhADj9If/WAAAAlAEAAAsAAAAAAAAAAAAAAAAALwEAAF9yZWxz&#10;Ly5yZWxzUEsBAi0AFAAGAAgAAAAhAFKh9D0sAgAAWAQAAA4AAAAAAAAAAAAAAAAALgIAAGRycy9l&#10;Mm9Eb2MueG1sUEsBAi0AFAAGAAgAAAAhABbrNjjcAAAABQEAAA8AAAAAAAAAAAAAAAAAhgQAAGRy&#10;cy9kb3ducmV2LnhtbFBLBQYAAAAABAAEAPMAAACPBQAAAAA=&#10;">
                <v:textbox style="mso-fit-shape-to-text:t">
                  <w:txbxContent>
                    <w:p w:rsidR="002E290E" w:rsidRPr="000816DF" w:rsidRDefault="0073365A" w:rsidP="0073365A">
                      <w:pPr>
                        <w:ind w:left="-142"/>
                        <w:jc w:val="both"/>
                        <w:rPr>
                          <w:sz w:val="24"/>
                          <w:u w:val="single"/>
                        </w:rPr>
                      </w:pPr>
                      <w:r>
                        <w:rPr>
                          <w:b/>
                          <w:sz w:val="24"/>
                        </w:rPr>
                        <w:t xml:space="preserve"> 7</w:t>
                      </w:r>
                      <w:r w:rsidR="00F27F86">
                        <w:rPr>
                          <w:b/>
                          <w:sz w:val="24"/>
                        </w:rPr>
                        <w:t>.</w:t>
                      </w:r>
                      <w:r>
                        <w:rPr>
                          <w:b/>
                          <w:sz w:val="24"/>
                        </w:rPr>
                        <w:t xml:space="preserve">      </w:t>
                      </w:r>
                      <w:r w:rsidR="002E290E" w:rsidRPr="002E290E">
                        <w:rPr>
                          <w:b/>
                          <w:sz w:val="24"/>
                          <w:u w:val="single"/>
                        </w:rPr>
                        <w:t>RECOMMENDATION</w:t>
                      </w:r>
                    </w:p>
                    <w:p w:rsidR="000816DF" w:rsidRDefault="000816DF" w:rsidP="000816DF">
                      <w:pPr>
                        <w:jc w:val="both"/>
                        <w:rPr>
                          <w:b/>
                          <w:sz w:val="24"/>
                          <w:u w:val="single"/>
                        </w:rPr>
                      </w:pPr>
                    </w:p>
                    <w:p w:rsidR="002E290E" w:rsidRPr="000816DF" w:rsidRDefault="00BC05AF" w:rsidP="00BC05AF">
                      <w:pPr>
                        <w:ind w:left="567" w:hanging="567"/>
                        <w:jc w:val="both"/>
                        <w:rPr>
                          <w:sz w:val="24"/>
                        </w:rPr>
                      </w:pPr>
                      <w:r>
                        <w:rPr>
                          <w:sz w:val="24"/>
                        </w:rPr>
                        <w:tab/>
                        <w:t xml:space="preserve">The </w:t>
                      </w:r>
                      <w:r w:rsidR="002160BC">
                        <w:rPr>
                          <w:sz w:val="24"/>
                        </w:rPr>
                        <w:t xml:space="preserve">Committee is invited to comment on the </w:t>
                      </w:r>
                      <w:r w:rsidR="000816DF" w:rsidRPr="000816DF">
                        <w:rPr>
                          <w:sz w:val="24"/>
                        </w:rPr>
                        <w:t xml:space="preserve">attached </w:t>
                      </w:r>
                      <w:r w:rsidR="002160BC">
                        <w:rPr>
                          <w:sz w:val="24"/>
                        </w:rPr>
                        <w:t xml:space="preserve">draft </w:t>
                      </w:r>
                      <w:r w:rsidR="006E0B2F">
                        <w:rPr>
                          <w:sz w:val="24"/>
                        </w:rPr>
                        <w:t>consultation response.</w:t>
                      </w:r>
                    </w:p>
                    <w:p w:rsidR="002E290E" w:rsidRPr="000816DF" w:rsidRDefault="002E290E" w:rsidP="00BC05AF">
                      <w:pPr>
                        <w:spacing w:afterLines="50" w:after="120"/>
                        <w:ind w:left="567" w:hanging="567"/>
                        <w:jc w:val="both"/>
                        <w:rPr>
                          <w:sz w:val="24"/>
                        </w:rPr>
                      </w:pPr>
                      <w:r w:rsidRPr="000816DF">
                        <w:rPr>
                          <w:sz w:val="24"/>
                        </w:rPr>
                        <w:tab/>
                      </w:r>
                    </w:p>
                  </w:txbxContent>
                </v:textbox>
                <w10:anchorlock/>
              </v:shape>
            </w:pict>
          </mc:Fallback>
        </mc:AlternateContent>
      </w:r>
    </w:p>
    <w:p w:rsidR="002E290E" w:rsidRPr="002E290E" w:rsidRDefault="002E290E" w:rsidP="002E290E">
      <w:pPr>
        <w:jc w:val="both"/>
        <w:rPr>
          <w:sz w:val="24"/>
          <w:u w:val="single"/>
        </w:rPr>
      </w:pPr>
    </w:p>
    <w:p w:rsidR="00747E5C" w:rsidRDefault="00747E5C" w:rsidP="00FB579D">
      <w:pPr>
        <w:ind w:leftChars="-71" w:left="-142"/>
        <w:jc w:val="both"/>
        <w:rPr>
          <w:sz w:val="24"/>
          <w:u w:val="single"/>
        </w:rPr>
      </w:pPr>
      <w:r>
        <w:rPr>
          <w:sz w:val="24"/>
        </w:rPr>
        <w:tab/>
      </w:r>
    </w:p>
    <w:p w:rsidR="00747E5C" w:rsidRDefault="00747E5C">
      <w:pPr>
        <w:ind w:left="567" w:hanging="567"/>
        <w:jc w:val="both"/>
        <w:rPr>
          <w:sz w:val="24"/>
        </w:rPr>
      </w:pPr>
      <w:r>
        <w:rPr>
          <w:sz w:val="24"/>
        </w:rPr>
        <w:tab/>
      </w:r>
    </w:p>
    <w:p w:rsidR="00747E5C" w:rsidRDefault="00747E5C">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747E5C" w:rsidRDefault="00747E5C">
      <w:pPr>
        <w:tabs>
          <w:tab w:val="left" w:pos="5670"/>
        </w:tabs>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085"/>
        <w:gridCol w:w="6095"/>
      </w:tblGrid>
      <w:tr w:rsidR="0072296F" w:rsidTr="006D7A2F">
        <w:tc>
          <w:tcPr>
            <w:tcW w:w="3085" w:type="dxa"/>
          </w:tcPr>
          <w:p w:rsidR="0072296F" w:rsidRDefault="0072296F">
            <w:pPr>
              <w:tabs>
                <w:tab w:val="left" w:pos="5670"/>
              </w:tabs>
              <w:jc w:val="both"/>
              <w:rPr>
                <w:sz w:val="24"/>
              </w:rPr>
            </w:pPr>
            <w:r>
              <w:rPr>
                <w:sz w:val="24"/>
              </w:rPr>
              <w:t>Background Papers:</w:t>
            </w:r>
          </w:p>
        </w:tc>
        <w:tc>
          <w:tcPr>
            <w:tcW w:w="6095" w:type="dxa"/>
          </w:tcPr>
          <w:p w:rsidR="0072296F" w:rsidRDefault="0072296F">
            <w:pPr>
              <w:tabs>
                <w:tab w:val="left" w:pos="5670"/>
              </w:tabs>
              <w:jc w:val="both"/>
              <w:rPr>
                <w:sz w:val="24"/>
              </w:rPr>
            </w:pPr>
          </w:p>
        </w:tc>
      </w:tr>
      <w:tr w:rsidR="0072296F" w:rsidTr="006D7A2F">
        <w:tc>
          <w:tcPr>
            <w:tcW w:w="3085" w:type="dxa"/>
          </w:tcPr>
          <w:p w:rsidR="0072296F" w:rsidRDefault="0072296F">
            <w:pPr>
              <w:tabs>
                <w:tab w:val="left" w:pos="5670"/>
              </w:tabs>
              <w:jc w:val="both"/>
              <w:rPr>
                <w:sz w:val="24"/>
              </w:rPr>
            </w:pPr>
            <w:r>
              <w:rPr>
                <w:sz w:val="24"/>
              </w:rPr>
              <w:t>Title</w:t>
            </w:r>
          </w:p>
        </w:tc>
        <w:tc>
          <w:tcPr>
            <w:tcW w:w="6095" w:type="dxa"/>
          </w:tcPr>
          <w:p w:rsidR="0072296F" w:rsidRDefault="0072296F">
            <w:pPr>
              <w:tabs>
                <w:tab w:val="left" w:pos="5670"/>
              </w:tabs>
              <w:jc w:val="both"/>
              <w:rPr>
                <w:sz w:val="24"/>
              </w:rPr>
            </w:pPr>
          </w:p>
        </w:tc>
      </w:tr>
      <w:tr w:rsidR="0072296F" w:rsidTr="006D7A2F">
        <w:tc>
          <w:tcPr>
            <w:tcW w:w="3085" w:type="dxa"/>
          </w:tcPr>
          <w:p w:rsidR="0072296F" w:rsidRDefault="0072296F">
            <w:pPr>
              <w:tabs>
                <w:tab w:val="left" w:pos="5670"/>
              </w:tabs>
              <w:jc w:val="both"/>
              <w:rPr>
                <w:sz w:val="24"/>
              </w:rPr>
            </w:pPr>
            <w:r>
              <w:rPr>
                <w:sz w:val="24"/>
              </w:rPr>
              <w:t>Date</w:t>
            </w:r>
          </w:p>
        </w:tc>
        <w:tc>
          <w:tcPr>
            <w:tcW w:w="6095" w:type="dxa"/>
          </w:tcPr>
          <w:p w:rsidR="0072296F" w:rsidRDefault="0072296F">
            <w:pPr>
              <w:tabs>
                <w:tab w:val="left" w:pos="5670"/>
              </w:tabs>
              <w:jc w:val="both"/>
              <w:rPr>
                <w:sz w:val="24"/>
              </w:rPr>
            </w:pPr>
          </w:p>
        </w:tc>
      </w:tr>
      <w:tr w:rsidR="0072296F" w:rsidTr="006D7A2F">
        <w:tc>
          <w:tcPr>
            <w:tcW w:w="3085" w:type="dxa"/>
          </w:tcPr>
          <w:p w:rsidR="0072296F" w:rsidRDefault="0072296F">
            <w:pPr>
              <w:tabs>
                <w:tab w:val="left" w:pos="5670"/>
              </w:tabs>
              <w:jc w:val="both"/>
              <w:rPr>
                <w:sz w:val="24"/>
              </w:rPr>
            </w:pPr>
            <w:r>
              <w:rPr>
                <w:sz w:val="24"/>
              </w:rPr>
              <w:t>Contact Officer</w:t>
            </w:r>
          </w:p>
        </w:tc>
        <w:tc>
          <w:tcPr>
            <w:tcW w:w="6095" w:type="dxa"/>
          </w:tcPr>
          <w:p w:rsidR="0072296F" w:rsidRDefault="0072296F">
            <w:pPr>
              <w:tabs>
                <w:tab w:val="left" w:pos="5670"/>
              </w:tabs>
              <w:jc w:val="both"/>
              <w:rPr>
                <w:sz w:val="24"/>
              </w:rPr>
            </w:pPr>
          </w:p>
        </w:tc>
      </w:tr>
    </w:tbl>
    <w:p w:rsidR="001B1A63" w:rsidRDefault="001B1A63">
      <w:pPr>
        <w:tabs>
          <w:tab w:val="left" w:pos="5670"/>
        </w:tabs>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085"/>
        <w:gridCol w:w="6095"/>
      </w:tblGrid>
      <w:tr w:rsidR="001B1A63" w:rsidTr="006D7A2F">
        <w:tc>
          <w:tcPr>
            <w:tcW w:w="3085" w:type="dxa"/>
          </w:tcPr>
          <w:p w:rsidR="001B1A63" w:rsidRDefault="001B1A63" w:rsidP="001B1A63">
            <w:pPr>
              <w:rPr>
                <w:sz w:val="24"/>
              </w:rPr>
            </w:pPr>
            <w:r>
              <w:rPr>
                <w:sz w:val="24"/>
              </w:rPr>
              <w:t>Previous Minutes/Reports:</w:t>
            </w:r>
          </w:p>
        </w:tc>
        <w:tc>
          <w:tcPr>
            <w:tcW w:w="6095" w:type="dxa"/>
          </w:tcPr>
          <w:p w:rsidR="001B1A63" w:rsidRDefault="001B1A63" w:rsidP="001B1A63">
            <w:pPr>
              <w:rPr>
                <w:sz w:val="24"/>
              </w:rPr>
            </w:pPr>
          </w:p>
        </w:tc>
      </w:tr>
      <w:tr w:rsidR="001B1A63" w:rsidTr="006D7A2F">
        <w:tc>
          <w:tcPr>
            <w:tcW w:w="3085" w:type="dxa"/>
          </w:tcPr>
          <w:p w:rsidR="001B1A63" w:rsidRDefault="00C6509A" w:rsidP="001B1A63">
            <w:pPr>
              <w:rPr>
                <w:sz w:val="24"/>
              </w:rPr>
            </w:pPr>
            <w:r>
              <w:rPr>
                <w:sz w:val="24"/>
              </w:rPr>
              <w:t>Ref:</w:t>
            </w:r>
          </w:p>
        </w:tc>
        <w:tc>
          <w:tcPr>
            <w:tcW w:w="6095" w:type="dxa"/>
          </w:tcPr>
          <w:p w:rsidR="001B1A63" w:rsidRDefault="001B1A63" w:rsidP="001B1A63">
            <w:pPr>
              <w:rPr>
                <w:sz w:val="24"/>
              </w:rPr>
            </w:pPr>
          </w:p>
        </w:tc>
      </w:tr>
      <w:tr w:rsidR="001B1A63" w:rsidTr="006D7A2F">
        <w:tc>
          <w:tcPr>
            <w:tcW w:w="3085" w:type="dxa"/>
          </w:tcPr>
          <w:p w:rsidR="001B1A63" w:rsidRDefault="00C6509A" w:rsidP="001B1A63">
            <w:pPr>
              <w:rPr>
                <w:sz w:val="24"/>
              </w:rPr>
            </w:pPr>
            <w:r>
              <w:rPr>
                <w:sz w:val="24"/>
              </w:rPr>
              <w:t>Date:</w:t>
            </w:r>
          </w:p>
        </w:tc>
        <w:tc>
          <w:tcPr>
            <w:tcW w:w="6095" w:type="dxa"/>
          </w:tcPr>
          <w:p w:rsidR="001B1A63" w:rsidRDefault="001B1A63" w:rsidP="001B1A63">
            <w:pPr>
              <w:rPr>
                <w:sz w:val="24"/>
              </w:rPr>
            </w:pPr>
          </w:p>
        </w:tc>
      </w:tr>
    </w:tbl>
    <w:p w:rsidR="00747E5C" w:rsidRDefault="00747E5C" w:rsidP="001B1A63">
      <w:pPr>
        <w:rPr>
          <w:sz w:val="24"/>
        </w:rPr>
      </w:pPr>
    </w:p>
    <w:p w:rsidR="006D7A2F" w:rsidRDefault="006D7A2F" w:rsidP="001B1A63">
      <w:pPr>
        <w:rPr>
          <w:sz w:val="24"/>
        </w:rPr>
      </w:pPr>
    </w:p>
    <w:p w:rsidR="0059632C" w:rsidRDefault="0059632C" w:rsidP="001B1A63">
      <w:pPr>
        <w:rPr>
          <w:sz w:val="24"/>
        </w:rPr>
      </w:pPr>
    </w:p>
    <w:p w:rsidR="0059632C" w:rsidRDefault="0059632C" w:rsidP="001B1A63">
      <w:pPr>
        <w:rPr>
          <w:sz w:val="24"/>
        </w:rPr>
      </w:pPr>
    </w:p>
    <w:p w:rsidR="0059632C" w:rsidRDefault="0059632C" w:rsidP="001B1A63">
      <w:pPr>
        <w:rPr>
          <w:sz w:val="24"/>
        </w:rPr>
      </w:pPr>
    </w:p>
    <w:p w:rsidR="00C5137D" w:rsidRPr="006E0B2F" w:rsidRDefault="00C5137D" w:rsidP="006E0B2F">
      <w:pPr>
        <w:rPr>
          <w:b/>
          <w:sz w:val="24"/>
        </w:rPr>
      </w:pPr>
    </w:p>
    <w:sectPr w:rsidR="00C5137D" w:rsidRPr="006E0B2F" w:rsidSect="002E290E">
      <w:headerReference w:type="default" r:id="rId9"/>
      <w:headerReference w:type="first" r:id="rId10"/>
      <w:pgSz w:w="11906" w:h="16838" w:code="9"/>
      <w:pgMar w:top="1134" w:right="1134" w:bottom="113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55" w:rsidRDefault="00724655">
      <w:r>
        <w:separator/>
      </w:r>
    </w:p>
  </w:endnote>
  <w:endnote w:type="continuationSeparator" w:id="0">
    <w:p w:rsidR="00724655" w:rsidRDefault="0072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55" w:rsidRDefault="00724655">
      <w:r>
        <w:separator/>
      </w:r>
    </w:p>
  </w:footnote>
  <w:footnote w:type="continuationSeparator" w:id="0">
    <w:p w:rsidR="00724655" w:rsidRDefault="0072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1C74B7">
      <w:trPr>
        <w:cantSplit/>
      </w:trPr>
      <w:tc>
        <w:tcPr>
          <w:tcW w:w="9180" w:type="dxa"/>
          <w:gridSpan w:val="4"/>
        </w:tcPr>
        <w:p w:rsidR="001C74B7" w:rsidRDefault="001C74B7">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1C74B7" w:rsidRDefault="001C74B7">
          <w:pPr>
            <w:pStyle w:val="Header"/>
            <w:jc w:val="center"/>
            <w:rPr>
              <w:b/>
              <w:sz w:val="24"/>
            </w:rPr>
          </w:pPr>
        </w:p>
      </w:tc>
    </w:tr>
    <w:tr w:rsidR="001C74B7">
      <w:tc>
        <w:tcPr>
          <w:tcW w:w="1526" w:type="dxa"/>
          <w:tcBorders>
            <w:top w:val="single" w:sz="4" w:space="0" w:color="auto"/>
            <w:left w:val="single" w:sz="4" w:space="0" w:color="auto"/>
            <w:bottom w:val="single" w:sz="4" w:space="0" w:color="auto"/>
            <w:right w:val="single" w:sz="4" w:space="0" w:color="auto"/>
          </w:tcBorders>
        </w:tcPr>
        <w:p w:rsidR="001C74B7" w:rsidRDefault="001C74B7">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1C74B7" w:rsidRPr="006D7A2F" w:rsidRDefault="002160BC">
          <w:pPr>
            <w:pStyle w:val="Header"/>
            <w:spacing w:before="120"/>
            <w:rPr>
              <w:rFonts w:ascii="Arial Black" w:hAnsi="Arial Black"/>
              <w:sz w:val="24"/>
            </w:rPr>
          </w:pPr>
          <w:r>
            <w:rPr>
              <w:rFonts w:ascii="Arial Black" w:hAnsi="Arial Black"/>
              <w:sz w:val="24"/>
            </w:rPr>
            <w:t>RESEARCH AND DEVELOPMENT</w:t>
          </w:r>
        </w:p>
        <w:p w:rsidR="001C74B7" w:rsidRDefault="001C74B7">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1C74B7" w:rsidRDefault="001C74B7">
          <w:pPr>
            <w:pStyle w:val="Header"/>
            <w:jc w:val="center"/>
            <w:rPr>
              <w:sz w:val="24"/>
            </w:rPr>
          </w:pPr>
          <w:r>
            <w:rPr>
              <w:sz w:val="24"/>
            </w:rPr>
            <w:t xml:space="preserve">Item </w:t>
          </w:r>
        </w:p>
        <w:p w:rsidR="001C74B7" w:rsidRDefault="00B47FE6">
          <w:pPr>
            <w:pStyle w:val="Header"/>
            <w:jc w:val="center"/>
            <w:rPr>
              <w:sz w:val="24"/>
            </w:rPr>
          </w:pPr>
          <w:r>
            <w:rPr>
              <w:sz w:val="24"/>
            </w:rPr>
            <w:t>A1</w:t>
          </w:r>
        </w:p>
      </w:tc>
      <w:tc>
        <w:tcPr>
          <w:tcW w:w="992" w:type="dxa"/>
          <w:tcBorders>
            <w:top w:val="single" w:sz="4" w:space="0" w:color="auto"/>
            <w:left w:val="single" w:sz="4" w:space="0" w:color="auto"/>
            <w:bottom w:val="single" w:sz="4" w:space="0" w:color="auto"/>
            <w:right w:val="single" w:sz="4" w:space="0" w:color="auto"/>
          </w:tcBorders>
        </w:tcPr>
        <w:p w:rsidR="001C74B7" w:rsidRPr="00C513FB" w:rsidRDefault="001C74B7" w:rsidP="002160BC">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B47FE6">
            <w:rPr>
              <w:noProof/>
              <w:snapToGrid w:val="0"/>
              <w:sz w:val="24"/>
              <w:szCs w:val="24"/>
            </w:rPr>
            <w:t>4</w:t>
          </w:r>
          <w:r w:rsidRPr="00C513FB">
            <w:rPr>
              <w:snapToGrid w:val="0"/>
              <w:sz w:val="24"/>
              <w:szCs w:val="24"/>
            </w:rPr>
            <w:fldChar w:fldCharType="end"/>
          </w:r>
          <w:r w:rsidRPr="00C513FB">
            <w:rPr>
              <w:snapToGrid w:val="0"/>
              <w:sz w:val="24"/>
              <w:szCs w:val="24"/>
            </w:rPr>
            <w:t xml:space="preserve"> </w:t>
          </w:r>
        </w:p>
      </w:tc>
    </w:tr>
  </w:tbl>
  <w:p w:rsidR="001C74B7" w:rsidRDefault="001C74B7">
    <w:pPr>
      <w:pStyle w:val="Header"/>
    </w:pPr>
  </w:p>
  <w:p w:rsidR="001C74B7" w:rsidRDefault="001C74B7">
    <w:pPr>
      <w:pStyle w:val="Header"/>
    </w:pPr>
  </w:p>
  <w:p w:rsidR="001C74B7" w:rsidRDefault="001C74B7">
    <w:pPr>
      <w:pStyle w:val="Header"/>
    </w:pPr>
  </w:p>
  <w:p w:rsidR="001C74B7" w:rsidRDefault="001C7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1526"/>
      <w:gridCol w:w="5386"/>
      <w:gridCol w:w="1276"/>
      <w:gridCol w:w="992"/>
    </w:tblGrid>
    <w:tr w:rsidR="001C74B7" w:rsidTr="006D7A2F">
      <w:trPr>
        <w:cantSplit/>
      </w:trPr>
      <w:tc>
        <w:tcPr>
          <w:tcW w:w="9180" w:type="dxa"/>
          <w:gridSpan w:val="4"/>
        </w:tcPr>
        <w:p w:rsidR="001C74B7" w:rsidRDefault="001C74B7">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1C74B7" w:rsidRDefault="001C74B7">
          <w:pPr>
            <w:pStyle w:val="Header"/>
            <w:jc w:val="center"/>
            <w:rPr>
              <w:b/>
              <w:sz w:val="24"/>
            </w:rPr>
          </w:pPr>
        </w:p>
      </w:tc>
    </w:tr>
    <w:tr w:rsidR="001C74B7" w:rsidTr="006D7A2F">
      <w:tc>
        <w:tcPr>
          <w:tcW w:w="1526" w:type="dxa"/>
          <w:tcBorders>
            <w:top w:val="single" w:sz="4" w:space="0" w:color="auto"/>
            <w:left w:val="single" w:sz="4" w:space="0" w:color="auto"/>
            <w:bottom w:val="single" w:sz="4" w:space="0" w:color="auto"/>
            <w:right w:val="single" w:sz="4" w:space="0" w:color="auto"/>
          </w:tcBorders>
        </w:tcPr>
        <w:p w:rsidR="001C74B7" w:rsidRDefault="001C74B7">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1C74B7" w:rsidRPr="006D7A2F" w:rsidRDefault="00EF6F25" w:rsidP="00747E5C">
          <w:pPr>
            <w:pStyle w:val="Header"/>
            <w:spacing w:before="120"/>
            <w:rPr>
              <w:rFonts w:ascii="Arial Black" w:hAnsi="Arial Black"/>
              <w:sz w:val="24"/>
              <w:szCs w:val="24"/>
            </w:rPr>
          </w:pPr>
          <w:r>
            <w:rPr>
              <w:rFonts w:ascii="Arial Black" w:hAnsi="Arial Black"/>
              <w:sz w:val="24"/>
              <w:szCs w:val="24"/>
            </w:rPr>
            <w:t>RESEARCH AND DEVELOPMENT</w:t>
          </w:r>
        </w:p>
      </w:tc>
      <w:tc>
        <w:tcPr>
          <w:tcW w:w="1276" w:type="dxa"/>
          <w:tcBorders>
            <w:top w:val="single" w:sz="4" w:space="0" w:color="auto"/>
            <w:left w:val="single" w:sz="4" w:space="0" w:color="auto"/>
            <w:bottom w:val="single" w:sz="4" w:space="0" w:color="auto"/>
            <w:right w:val="single" w:sz="4" w:space="0" w:color="auto"/>
          </w:tcBorders>
        </w:tcPr>
        <w:p w:rsidR="001C74B7" w:rsidRDefault="001C74B7">
          <w:pPr>
            <w:pStyle w:val="Header"/>
            <w:jc w:val="center"/>
            <w:rPr>
              <w:sz w:val="24"/>
            </w:rPr>
          </w:pPr>
          <w:r>
            <w:rPr>
              <w:sz w:val="24"/>
            </w:rPr>
            <w:t xml:space="preserve">Item </w:t>
          </w:r>
        </w:p>
        <w:p w:rsidR="001C74B7" w:rsidRDefault="00B47FE6">
          <w:pPr>
            <w:pStyle w:val="Header"/>
            <w:jc w:val="center"/>
            <w:rPr>
              <w:sz w:val="24"/>
            </w:rPr>
          </w:pPr>
          <w:r>
            <w:rPr>
              <w:sz w:val="24"/>
            </w:rPr>
            <w:t>A1</w:t>
          </w:r>
        </w:p>
      </w:tc>
      <w:tc>
        <w:tcPr>
          <w:tcW w:w="992" w:type="dxa"/>
          <w:tcBorders>
            <w:top w:val="single" w:sz="4" w:space="0" w:color="auto"/>
            <w:left w:val="single" w:sz="4" w:space="0" w:color="auto"/>
            <w:bottom w:val="single" w:sz="4" w:space="0" w:color="auto"/>
            <w:right w:val="single" w:sz="4" w:space="0" w:color="auto"/>
          </w:tcBorders>
        </w:tcPr>
        <w:p w:rsidR="001C74B7" w:rsidRPr="00C513FB" w:rsidRDefault="001C74B7" w:rsidP="00B47FE6">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B47FE6">
            <w:rPr>
              <w:noProof/>
              <w:snapToGrid w:val="0"/>
              <w:sz w:val="24"/>
              <w:szCs w:val="24"/>
            </w:rPr>
            <w:t>1</w:t>
          </w:r>
          <w:r w:rsidRPr="00C513FB">
            <w:rPr>
              <w:snapToGrid w:val="0"/>
              <w:sz w:val="24"/>
              <w:szCs w:val="24"/>
            </w:rPr>
            <w:fldChar w:fldCharType="end"/>
          </w:r>
          <w:r w:rsidRPr="00C513FB">
            <w:rPr>
              <w:snapToGrid w:val="0"/>
              <w:sz w:val="24"/>
              <w:szCs w:val="24"/>
            </w:rPr>
            <w:t xml:space="preserve"> </w:t>
          </w:r>
        </w:p>
      </w:tc>
    </w:tr>
    <w:tr w:rsidR="001C74B7" w:rsidTr="006D7A2F">
      <w:trPr>
        <w:cantSplit/>
      </w:trPr>
      <w:tc>
        <w:tcPr>
          <w:tcW w:w="1526" w:type="dxa"/>
          <w:tcBorders>
            <w:top w:val="single" w:sz="4" w:space="0" w:color="auto"/>
            <w:left w:val="single" w:sz="4" w:space="0" w:color="auto"/>
            <w:bottom w:val="single" w:sz="4" w:space="0" w:color="auto"/>
            <w:right w:val="single" w:sz="4" w:space="0" w:color="auto"/>
          </w:tcBorders>
        </w:tcPr>
        <w:p w:rsidR="001C74B7" w:rsidRDefault="001C74B7">
          <w:pPr>
            <w:pStyle w:val="Header"/>
            <w:rPr>
              <w:b/>
              <w:sz w:val="24"/>
            </w:rPr>
          </w:pPr>
          <w:r>
            <w:rPr>
              <w:b/>
              <w:sz w:val="24"/>
            </w:rPr>
            <w:t xml:space="preserve">Report </w:t>
          </w:r>
        </w:p>
        <w:p w:rsidR="001C74B7" w:rsidRDefault="001C74B7">
          <w:pPr>
            <w:pStyle w:val="Header"/>
            <w:rPr>
              <w:b/>
              <w:sz w:val="24"/>
            </w:rPr>
          </w:pPr>
          <w:r>
            <w:rPr>
              <w:b/>
              <w:sz w:val="24"/>
            </w:rPr>
            <w:t>Originator</w:t>
          </w:r>
        </w:p>
        <w:p w:rsidR="001C74B7" w:rsidRDefault="001C74B7">
          <w:pPr>
            <w:pStyle w:val="Header"/>
            <w:rPr>
              <w:b/>
              <w:sz w:val="24"/>
            </w:rPr>
          </w:pPr>
        </w:p>
      </w:tc>
      <w:tc>
        <w:tcPr>
          <w:tcW w:w="5386" w:type="dxa"/>
          <w:tcBorders>
            <w:top w:val="single" w:sz="4" w:space="0" w:color="auto"/>
            <w:left w:val="single" w:sz="4" w:space="0" w:color="auto"/>
            <w:bottom w:val="single" w:sz="4" w:space="0" w:color="auto"/>
          </w:tcBorders>
        </w:tcPr>
        <w:p w:rsidR="001C74B7" w:rsidRDefault="00536227">
          <w:pPr>
            <w:pStyle w:val="Header"/>
            <w:rPr>
              <w:sz w:val="24"/>
            </w:rPr>
          </w:pPr>
          <w:r>
            <w:rPr>
              <w:sz w:val="24"/>
            </w:rPr>
            <w:t>Strategic Management Team</w:t>
          </w:r>
        </w:p>
      </w:tc>
      <w:tc>
        <w:tcPr>
          <w:tcW w:w="2268" w:type="dxa"/>
          <w:gridSpan w:val="2"/>
          <w:tcBorders>
            <w:top w:val="single" w:sz="4" w:space="0" w:color="auto"/>
            <w:left w:val="single" w:sz="4" w:space="0" w:color="auto"/>
            <w:bottom w:val="single" w:sz="4" w:space="0" w:color="auto"/>
            <w:right w:val="single" w:sz="4" w:space="0" w:color="auto"/>
          </w:tcBorders>
        </w:tcPr>
        <w:p w:rsidR="001C74B7" w:rsidRDefault="001C74B7">
          <w:pPr>
            <w:pStyle w:val="Header"/>
            <w:rPr>
              <w:i/>
              <w:iCs/>
              <w:sz w:val="24"/>
            </w:rPr>
          </w:pPr>
          <w:proofErr w:type="spellStart"/>
          <w:r>
            <w:rPr>
              <w:i/>
              <w:iCs/>
              <w:sz w:val="24"/>
            </w:rPr>
            <w:t>Fwd</w:t>
          </w:r>
          <w:proofErr w:type="spellEnd"/>
          <w:r>
            <w:rPr>
              <w:i/>
              <w:iCs/>
              <w:sz w:val="24"/>
            </w:rPr>
            <w:t xml:space="preserve"> Plan Ref No:</w:t>
          </w:r>
        </w:p>
        <w:p w:rsidR="001C74B7" w:rsidRDefault="002160BC">
          <w:pPr>
            <w:pStyle w:val="Header"/>
            <w:jc w:val="center"/>
            <w:rPr>
              <w:sz w:val="24"/>
            </w:rPr>
          </w:pPr>
          <w:r>
            <w:rPr>
              <w:sz w:val="24"/>
            </w:rPr>
            <w:t>-</w:t>
          </w:r>
        </w:p>
      </w:tc>
    </w:tr>
    <w:tr w:rsidR="001C74B7" w:rsidTr="006D7A2F">
      <w:trPr>
        <w:cantSplit/>
      </w:trPr>
      <w:tc>
        <w:tcPr>
          <w:tcW w:w="1526" w:type="dxa"/>
          <w:tcBorders>
            <w:top w:val="single" w:sz="4" w:space="0" w:color="auto"/>
            <w:left w:val="single" w:sz="4" w:space="0" w:color="auto"/>
            <w:bottom w:val="single" w:sz="4" w:space="0" w:color="auto"/>
            <w:right w:val="single" w:sz="4" w:space="0" w:color="auto"/>
          </w:tcBorders>
        </w:tcPr>
        <w:p w:rsidR="001C74B7" w:rsidRDefault="001C74B7">
          <w:pPr>
            <w:pStyle w:val="Header"/>
            <w:rPr>
              <w:b/>
              <w:sz w:val="24"/>
            </w:rPr>
          </w:pPr>
          <w:r>
            <w:rPr>
              <w:b/>
              <w:sz w:val="24"/>
            </w:rPr>
            <w:t>Wards Affected</w:t>
          </w:r>
        </w:p>
      </w:tc>
      <w:tc>
        <w:tcPr>
          <w:tcW w:w="5386" w:type="dxa"/>
          <w:tcBorders>
            <w:top w:val="single" w:sz="4" w:space="0" w:color="auto"/>
            <w:left w:val="single" w:sz="4" w:space="0" w:color="auto"/>
            <w:bottom w:val="single" w:sz="4" w:space="0" w:color="auto"/>
            <w:right w:val="single" w:sz="4" w:space="0" w:color="auto"/>
          </w:tcBorders>
        </w:tcPr>
        <w:p w:rsidR="001C74B7" w:rsidRDefault="001C74B7">
          <w:pPr>
            <w:pStyle w:val="Header"/>
            <w:rPr>
              <w:sz w:val="24"/>
            </w:rPr>
          </w:pPr>
        </w:p>
        <w:p w:rsidR="0059632C" w:rsidRDefault="0059632C">
          <w:pPr>
            <w:pStyle w:val="Header"/>
            <w:rPr>
              <w:sz w:val="24"/>
            </w:rPr>
          </w:pPr>
          <w:r>
            <w:rPr>
              <w:sz w:val="24"/>
            </w:rPr>
            <w:t xml:space="preserve">ALL </w:t>
          </w:r>
        </w:p>
      </w:tc>
      <w:tc>
        <w:tcPr>
          <w:tcW w:w="2268" w:type="dxa"/>
          <w:gridSpan w:val="2"/>
          <w:tcBorders>
            <w:top w:val="single" w:sz="4" w:space="0" w:color="auto"/>
            <w:left w:val="single" w:sz="4" w:space="0" w:color="auto"/>
            <w:bottom w:val="single" w:sz="4" w:space="0" w:color="auto"/>
            <w:right w:val="single" w:sz="4" w:space="0" w:color="auto"/>
          </w:tcBorders>
        </w:tcPr>
        <w:p w:rsidR="001C74B7" w:rsidRDefault="002160BC">
          <w:pPr>
            <w:pStyle w:val="Header"/>
            <w:rPr>
              <w:bCs/>
              <w:sz w:val="24"/>
            </w:rPr>
          </w:pPr>
          <w:r>
            <w:rPr>
              <w:bCs/>
              <w:sz w:val="24"/>
            </w:rPr>
            <w:t>7</w:t>
          </w:r>
          <w:r w:rsidR="00536227" w:rsidRPr="00536227">
            <w:rPr>
              <w:bCs/>
              <w:sz w:val="24"/>
              <w:vertAlign w:val="superscript"/>
            </w:rPr>
            <w:t>th</w:t>
          </w:r>
          <w:r w:rsidR="00536227">
            <w:rPr>
              <w:bCs/>
              <w:sz w:val="24"/>
            </w:rPr>
            <w:t xml:space="preserve"> September 2015</w:t>
          </w:r>
        </w:p>
        <w:p w:rsidR="001C74B7" w:rsidRDefault="001C74B7">
          <w:pPr>
            <w:pStyle w:val="Header"/>
            <w:rPr>
              <w:sz w:val="24"/>
            </w:rPr>
          </w:pPr>
        </w:p>
      </w:tc>
    </w:tr>
    <w:tr w:rsidR="001C74B7" w:rsidTr="006D7A2F">
      <w:trPr>
        <w:cantSplit/>
      </w:trPr>
      <w:tc>
        <w:tcPr>
          <w:tcW w:w="1526" w:type="dxa"/>
          <w:tcBorders>
            <w:top w:val="single" w:sz="4" w:space="0" w:color="auto"/>
            <w:left w:val="single" w:sz="4" w:space="0" w:color="auto"/>
            <w:bottom w:val="single" w:sz="4" w:space="0" w:color="auto"/>
            <w:right w:val="single" w:sz="4" w:space="0" w:color="auto"/>
          </w:tcBorders>
        </w:tcPr>
        <w:p w:rsidR="001C74B7" w:rsidRDefault="001C74B7">
          <w:pPr>
            <w:pStyle w:val="Header"/>
            <w:rPr>
              <w:b/>
              <w:sz w:val="24"/>
            </w:rPr>
          </w:pPr>
          <w:r>
            <w:rPr>
              <w:b/>
              <w:sz w:val="24"/>
            </w:rPr>
            <w:t>Title</w:t>
          </w:r>
        </w:p>
        <w:p w:rsidR="001C74B7" w:rsidRDefault="001C74B7">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59632C" w:rsidRDefault="0059632C" w:rsidP="0059632C">
          <w:pPr>
            <w:pStyle w:val="Header"/>
            <w:rPr>
              <w:rFonts w:ascii="Arial Black" w:hAnsi="Arial Black"/>
              <w:b/>
              <w:bCs/>
              <w:sz w:val="24"/>
            </w:rPr>
          </w:pPr>
          <w:r>
            <w:rPr>
              <w:rFonts w:ascii="Arial Black" w:hAnsi="Arial Black"/>
              <w:b/>
              <w:bCs/>
              <w:sz w:val="24"/>
            </w:rPr>
            <w:t>CONSULTATION ON POTENTIAL CL</w:t>
          </w:r>
          <w:r w:rsidR="00536227">
            <w:rPr>
              <w:rFonts w:ascii="Arial Black" w:hAnsi="Arial Black"/>
              <w:b/>
              <w:bCs/>
              <w:sz w:val="24"/>
            </w:rPr>
            <w:t>OSURE OF KETTERING MAGISTRATES’</w:t>
          </w:r>
          <w:r>
            <w:rPr>
              <w:rFonts w:ascii="Arial Black" w:hAnsi="Arial Black"/>
              <w:b/>
              <w:bCs/>
              <w:sz w:val="24"/>
            </w:rPr>
            <w:t xml:space="preserve"> AND COUNTY COURT</w:t>
          </w:r>
        </w:p>
      </w:tc>
    </w:tr>
  </w:tbl>
  <w:p w:rsidR="001C74B7" w:rsidRDefault="001C74B7">
    <w:pPr>
      <w:pStyle w:val="Header"/>
    </w:pPr>
  </w:p>
  <w:p w:rsidR="001C74B7" w:rsidRDefault="001C74B7">
    <w:pPr>
      <w:pStyle w:val="Header"/>
    </w:pPr>
  </w:p>
  <w:p w:rsidR="001C74B7" w:rsidRDefault="001C7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0A0"/>
    <w:multiLevelType w:val="hybridMultilevel"/>
    <w:tmpl w:val="B840FFAC"/>
    <w:lvl w:ilvl="0" w:tplc="B5761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B2F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D522543"/>
    <w:multiLevelType w:val="hybridMultilevel"/>
    <w:tmpl w:val="7982FC4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10692D8B"/>
    <w:multiLevelType w:val="hybridMultilevel"/>
    <w:tmpl w:val="CAC8C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218F8"/>
    <w:multiLevelType w:val="multilevel"/>
    <w:tmpl w:val="92DA5B56"/>
    <w:styleLink w:val="Style3"/>
    <w:lvl w:ilvl="0">
      <w:start w:val="1"/>
      <w:numFmt w:val="decimal"/>
      <w:lvlText w:val="%1.1"/>
      <w:lvlJc w:val="left"/>
      <w:pPr>
        <w:tabs>
          <w:tab w:val="num" w:pos="360"/>
        </w:tabs>
        <w:ind w:left="360" w:hanging="360"/>
      </w:pPr>
      <w:rPr>
        <w:rFonts w:hint="default"/>
        <w:sz w:val="24"/>
      </w:rPr>
    </w:lvl>
    <w:lvl w:ilvl="1">
      <w:start w:val="1"/>
      <w:numFmt w:val="decimal"/>
      <w:lvlText w:val="%1.1"/>
      <w:lvlJc w:val="left"/>
      <w:pPr>
        <w:tabs>
          <w:tab w:val="num" w:pos="720"/>
        </w:tabs>
        <w:ind w:left="720" w:hanging="360"/>
      </w:pPr>
      <w:rPr>
        <w:rFonts w:hint="default"/>
        <w:sz w:val="24"/>
      </w:rPr>
    </w:lvl>
    <w:lvl w:ilvl="2">
      <w:start w:val="1"/>
      <w:numFmt w:val="decimal"/>
      <w:lvlText w:val="%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5">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6">
    <w:nsid w:val="16027DDA"/>
    <w:multiLevelType w:val="multilevel"/>
    <w:tmpl w:val="99980112"/>
    <w:styleLink w:val="CurrentList1"/>
    <w:lvl w:ilvl="0">
      <w:start w:val="1"/>
      <w:numFmt w:val="none"/>
      <w:lvlText w:val="1.2"/>
      <w:lvlJc w:val="left"/>
      <w:pPr>
        <w:tabs>
          <w:tab w:val="num" w:pos="1290"/>
        </w:tabs>
        <w:ind w:left="12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8732FA"/>
    <w:multiLevelType w:val="hybridMultilevel"/>
    <w:tmpl w:val="BE02C6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171A2"/>
    <w:multiLevelType w:val="hybridMultilevel"/>
    <w:tmpl w:val="EE826F66"/>
    <w:lvl w:ilvl="0" w:tplc="75687E0E">
      <w:start w:val="1"/>
      <w:numFmt w:val="decimal"/>
      <w:lvlText w:val="5.%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0">
    <w:nsid w:val="1C4E1529"/>
    <w:multiLevelType w:val="multilevel"/>
    <w:tmpl w:val="CB8416C4"/>
    <w:lvl w:ilvl="0">
      <w:start w:val="1"/>
      <w:numFmt w:val="none"/>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1">
    <w:nsid w:val="2A397EBC"/>
    <w:multiLevelType w:val="hybridMultilevel"/>
    <w:tmpl w:val="A24A911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nsid w:val="2D320D65"/>
    <w:multiLevelType w:val="hybridMultilevel"/>
    <w:tmpl w:val="1A9C1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F807559"/>
    <w:multiLevelType w:val="hybridMultilevel"/>
    <w:tmpl w:val="ABCC5D6A"/>
    <w:lvl w:ilvl="0" w:tplc="CDEC7730">
      <w:start w:val="8"/>
      <w:numFmt w:val="decimal"/>
      <w:lvlText w:val="%1."/>
      <w:lvlJc w:val="left"/>
      <w:pPr>
        <w:tabs>
          <w:tab w:val="num" w:pos="720"/>
        </w:tabs>
        <w:ind w:left="720" w:hanging="360"/>
      </w:pPr>
      <w:rPr>
        <w:rFonts w:hint="default"/>
        <w:b/>
        <w:i w:val="0"/>
      </w:rPr>
    </w:lvl>
    <w:lvl w:ilvl="1" w:tplc="1CD8D7AE">
      <w:start w:val="1"/>
      <w:numFmt w:val="decimal"/>
      <w:lvlText w:val="8.%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AE4B30"/>
    <w:multiLevelType w:val="multilevel"/>
    <w:tmpl w:val="CB8416C4"/>
    <w:lvl w:ilvl="0">
      <w:start w:val="1"/>
      <w:numFmt w:val="none"/>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5">
    <w:nsid w:val="3DEF4673"/>
    <w:multiLevelType w:val="hybridMultilevel"/>
    <w:tmpl w:val="8ACAEA90"/>
    <w:lvl w:ilvl="0" w:tplc="2BA6C8B0">
      <w:numFmt w:val="bullet"/>
      <w:lvlText w:val="•"/>
      <w:lvlJc w:val="left"/>
      <w:pPr>
        <w:ind w:left="2160" w:hanging="144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E0634C8"/>
    <w:multiLevelType w:val="hybridMultilevel"/>
    <w:tmpl w:val="8A26558E"/>
    <w:lvl w:ilvl="0" w:tplc="78221CBC">
      <w:start w:val="1"/>
      <w:numFmt w:val="decimal"/>
      <w:lvlText w:val="%1)"/>
      <w:lvlJc w:val="left"/>
      <w:pPr>
        <w:ind w:left="2880" w:hanging="21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E2F5AC5"/>
    <w:multiLevelType w:val="hybridMultilevel"/>
    <w:tmpl w:val="04FC9B96"/>
    <w:lvl w:ilvl="0" w:tplc="6FAEF4E4">
      <w:start w:val="1"/>
      <w:numFmt w:val="decimal"/>
      <w:lvlText w:val="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4B2E95"/>
    <w:multiLevelType w:val="hybridMultilevel"/>
    <w:tmpl w:val="9FD65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DC409D"/>
    <w:multiLevelType w:val="hybridMultilevel"/>
    <w:tmpl w:val="305CC090"/>
    <w:lvl w:ilvl="0" w:tplc="14960836">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F63384"/>
    <w:multiLevelType w:val="hybridMultilevel"/>
    <w:tmpl w:val="5F20BC84"/>
    <w:lvl w:ilvl="0" w:tplc="6AE44936">
      <w:start w:val="1"/>
      <w:numFmt w:val="decimal"/>
      <w:lvlText w:val="6.%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C35F4B"/>
    <w:multiLevelType w:val="hybridMultilevel"/>
    <w:tmpl w:val="FC8A0664"/>
    <w:lvl w:ilvl="0" w:tplc="6F7672FC">
      <w:start w:val="1"/>
      <w:numFmt w:val="decimal"/>
      <w:lvlText w:val="1.%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E53AB9"/>
    <w:multiLevelType w:val="hybridMultilevel"/>
    <w:tmpl w:val="E1447CA8"/>
    <w:lvl w:ilvl="0" w:tplc="78221CBC">
      <w:start w:val="1"/>
      <w:numFmt w:val="decimal"/>
      <w:lvlText w:val="%1)"/>
      <w:lvlJc w:val="left"/>
      <w:pPr>
        <w:ind w:left="2520" w:hanging="21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C241F7"/>
    <w:multiLevelType w:val="hybridMultilevel"/>
    <w:tmpl w:val="AB18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263F0C"/>
    <w:multiLevelType w:val="hybridMultilevel"/>
    <w:tmpl w:val="E638B20C"/>
    <w:lvl w:ilvl="0" w:tplc="2BA6C8B0">
      <w:numFmt w:val="bullet"/>
      <w:lvlText w:val="•"/>
      <w:lvlJc w:val="left"/>
      <w:pPr>
        <w:ind w:left="2880" w:hanging="144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D2D5752"/>
    <w:multiLevelType w:val="multilevel"/>
    <w:tmpl w:val="9F32B5EA"/>
    <w:styleLink w:val="Style1"/>
    <w:lvl w:ilvl="0">
      <w:start w:val="1"/>
      <w:numFmt w:val="none"/>
      <w:lvlText w:val="1.1"/>
      <w:lvlJc w:val="left"/>
      <w:pPr>
        <w:tabs>
          <w:tab w:val="num" w:pos="360"/>
        </w:tabs>
        <w:ind w:left="360" w:hanging="360"/>
      </w:pPr>
      <w:rPr>
        <w:rFonts w:hint="default"/>
        <w:sz w:val="24"/>
      </w:rPr>
    </w:lvl>
    <w:lvl w:ilvl="1">
      <w:start w:val="6"/>
      <w:numFmt w:val="decimal"/>
      <w:lvlText w:val="%1.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3"/>
      <w:lvlJc w:val="left"/>
      <w:pPr>
        <w:tabs>
          <w:tab w:val="num" w:pos="1800"/>
        </w:tabs>
        <w:ind w:left="1800" w:hanging="720"/>
      </w:pPr>
      <w:rPr>
        <w:rFonts w:hint="default"/>
      </w:rPr>
    </w:lvl>
    <w:lvl w:ilvl="4">
      <w:start w:val="1"/>
      <w:numFmt w:val="decimal"/>
      <w:lvlText w:val="%1.4"/>
      <w:lvlJc w:val="left"/>
      <w:pPr>
        <w:tabs>
          <w:tab w:val="num" w:pos="2520"/>
        </w:tabs>
        <w:ind w:left="2520" w:hanging="1080"/>
      </w:pPr>
      <w:rPr>
        <w:rFonts w:hint="default"/>
      </w:rPr>
    </w:lvl>
    <w:lvl w:ilvl="5">
      <w:start w:val="1"/>
      <w:numFmt w:val="decimal"/>
      <w:lvlText w:val="%1.5"/>
      <w:lvlJc w:val="left"/>
      <w:pPr>
        <w:tabs>
          <w:tab w:val="num" w:pos="2880"/>
        </w:tabs>
        <w:ind w:left="2880" w:hanging="1080"/>
      </w:pPr>
      <w:rPr>
        <w:rFonts w:hint="default"/>
      </w:rPr>
    </w:lvl>
    <w:lvl w:ilvl="6">
      <w:start w:val="1"/>
      <w:numFmt w:val="decimal"/>
      <w:lvlText w:val="%1.%2"/>
      <w:lvlJc w:val="left"/>
      <w:pPr>
        <w:tabs>
          <w:tab w:val="num" w:pos="3600"/>
        </w:tabs>
        <w:ind w:left="3600" w:hanging="1440"/>
      </w:pPr>
      <w:rPr>
        <w:rFonts w:hint="default"/>
      </w:rPr>
    </w:lvl>
    <w:lvl w:ilvl="7">
      <w:start w:val="1"/>
      <w:numFmt w:val="decimal"/>
      <w:lvlText w:val="%1.7"/>
      <w:lvlJc w:val="left"/>
      <w:pPr>
        <w:tabs>
          <w:tab w:val="num" w:pos="3960"/>
        </w:tabs>
        <w:ind w:left="3960" w:hanging="1440"/>
      </w:pPr>
      <w:rPr>
        <w:rFonts w:hint="default"/>
      </w:rPr>
    </w:lvl>
    <w:lvl w:ilvl="8">
      <w:start w:val="1"/>
      <w:numFmt w:val="decimal"/>
      <w:lvlText w:val="%1.8"/>
      <w:lvlJc w:val="left"/>
      <w:pPr>
        <w:tabs>
          <w:tab w:val="num" w:pos="4680"/>
        </w:tabs>
        <w:ind w:left="4680" w:hanging="1800"/>
      </w:pPr>
      <w:rPr>
        <w:rFonts w:hint="default"/>
      </w:rPr>
    </w:lvl>
  </w:abstractNum>
  <w:abstractNum w:abstractNumId="26">
    <w:nsid w:val="61B82661"/>
    <w:multiLevelType w:val="multilevel"/>
    <w:tmpl w:val="36D8631E"/>
    <w:lvl w:ilvl="0">
      <w:start w:val="1"/>
      <w:numFmt w:val="none"/>
      <w:lvlText w:val="2.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27">
    <w:nsid w:val="61E97B35"/>
    <w:multiLevelType w:val="hybridMultilevel"/>
    <w:tmpl w:val="0B3C6650"/>
    <w:lvl w:ilvl="0" w:tplc="78221CBC">
      <w:start w:val="1"/>
      <w:numFmt w:val="decimal"/>
      <w:lvlText w:val="%1)"/>
      <w:lvlJc w:val="left"/>
      <w:pPr>
        <w:ind w:left="2880" w:hanging="21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51E7ED3"/>
    <w:multiLevelType w:val="hybridMultilevel"/>
    <w:tmpl w:val="51D244E6"/>
    <w:lvl w:ilvl="0" w:tplc="797E4FF0">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E944A5"/>
    <w:multiLevelType w:val="hybridMultilevel"/>
    <w:tmpl w:val="72F6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0A7999"/>
    <w:multiLevelType w:val="singleLevel"/>
    <w:tmpl w:val="A5D0B71A"/>
    <w:lvl w:ilvl="0">
      <w:start w:val="1"/>
      <w:numFmt w:val="decimal"/>
      <w:lvlText w:val="1.%1"/>
      <w:lvlJc w:val="left"/>
      <w:pPr>
        <w:tabs>
          <w:tab w:val="num" w:pos="502"/>
        </w:tabs>
        <w:ind w:left="502" w:hanging="360"/>
      </w:pPr>
      <w:rPr>
        <w:rFonts w:hint="default"/>
        <w:b w:val="0"/>
        <w:sz w:val="24"/>
      </w:rPr>
    </w:lvl>
  </w:abstractNum>
  <w:abstractNum w:abstractNumId="31">
    <w:nsid w:val="6DD565A6"/>
    <w:multiLevelType w:val="multilevel"/>
    <w:tmpl w:val="83B05C9E"/>
    <w:lvl w:ilvl="0">
      <w:start w:val="1"/>
      <w:numFmt w:val="decimal"/>
      <w:lvlText w:val="2.%1"/>
      <w:lvlJc w:val="left"/>
      <w:pPr>
        <w:tabs>
          <w:tab w:val="num" w:pos="360"/>
        </w:tabs>
        <w:ind w:left="360" w:hanging="360"/>
      </w:pPr>
      <w:rPr>
        <w:rFonts w:hint="default"/>
        <w:b w:val="0"/>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32">
    <w:nsid w:val="714F2621"/>
    <w:multiLevelType w:val="hybridMultilevel"/>
    <w:tmpl w:val="E9EA5D62"/>
    <w:lvl w:ilvl="0" w:tplc="B57618A6">
      <w:start w:val="1"/>
      <w:numFmt w:val="lowerRoman"/>
      <w:lvlText w:val="%1."/>
      <w:lvlJc w:val="left"/>
      <w:pPr>
        <w:ind w:left="3960" w:hanging="72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3">
    <w:nsid w:val="75B73192"/>
    <w:multiLevelType w:val="hybridMultilevel"/>
    <w:tmpl w:val="E7B22E38"/>
    <w:lvl w:ilvl="0" w:tplc="C4E89E42">
      <w:start w:val="1"/>
      <w:numFmt w:val="decimal"/>
      <w:lvlText w:val="7.%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57003A"/>
    <w:multiLevelType w:val="hybridMultilevel"/>
    <w:tmpl w:val="145C6F88"/>
    <w:lvl w:ilvl="0" w:tplc="B57618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1E6197"/>
    <w:multiLevelType w:val="multilevel"/>
    <w:tmpl w:val="06D6C346"/>
    <w:styleLink w:val="Style2"/>
    <w:lvl w:ilvl="0">
      <w:start w:val="1"/>
      <w:numFmt w:val="none"/>
      <w:lvlText w:val="%11.1"/>
      <w:lvlJc w:val="left"/>
      <w:pPr>
        <w:tabs>
          <w:tab w:val="num" w:pos="720"/>
        </w:tabs>
        <w:ind w:left="720" w:hanging="360"/>
      </w:pPr>
      <w:rPr>
        <w:rFonts w:hint="default"/>
        <w:sz w:val="24"/>
      </w:rPr>
    </w:lvl>
    <w:lvl w:ilvl="1">
      <w:start w:val="1"/>
      <w:numFmt w:val="decimal"/>
      <w:lvlText w:val="%1.1"/>
      <w:lvlJc w:val="left"/>
      <w:pPr>
        <w:tabs>
          <w:tab w:val="num" w:pos="1080"/>
        </w:tabs>
        <w:ind w:left="1080" w:hanging="360"/>
      </w:pPr>
      <w:rPr>
        <w:rFonts w:hint="default"/>
        <w:sz w:val="24"/>
      </w:rPr>
    </w:lvl>
    <w:lvl w:ilvl="2">
      <w:start w:val="1"/>
      <w:numFmt w:val="decimal"/>
      <w:lvlText w:val="%1.2"/>
      <w:lvlJc w:val="left"/>
      <w:pPr>
        <w:tabs>
          <w:tab w:val="num" w:pos="1800"/>
        </w:tabs>
        <w:ind w:left="1440" w:hanging="720"/>
      </w:pPr>
      <w:rPr>
        <w:rFonts w:hint="default"/>
      </w:rPr>
    </w:lvl>
    <w:lvl w:ilvl="3">
      <w:start w:val="1"/>
      <w:numFmt w:val="decimal"/>
      <w:lvlText w:val="%1.3"/>
      <w:lvlJc w:val="left"/>
      <w:pPr>
        <w:tabs>
          <w:tab w:val="num" w:pos="2160"/>
        </w:tabs>
        <w:ind w:left="1440" w:hanging="720"/>
      </w:pPr>
      <w:rPr>
        <w:rFonts w:hint="default"/>
      </w:rPr>
    </w:lvl>
    <w:lvl w:ilvl="4">
      <w:start w:val="1"/>
      <w:numFmt w:val="decimal"/>
      <w:lvlText w:val="%1.4"/>
      <w:lvlJc w:val="left"/>
      <w:pPr>
        <w:tabs>
          <w:tab w:val="num" w:pos="2880"/>
        </w:tabs>
        <w:ind w:left="1800" w:hanging="1080"/>
      </w:pPr>
      <w:rPr>
        <w:rFonts w:hint="default"/>
      </w:rPr>
    </w:lvl>
    <w:lvl w:ilvl="5">
      <w:start w:val="1"/>
      <w:numFmt w:val="decimal"/>
      <w:lvlText w:val="%1.5"/>
      <w:lvlJc w:val="left"/>
      <w:pPr>
        <w:tabs>
          <w:tab w:val="num" w:pos="3240"/>
        </w:tabs>
        <w:ind w:left="1800" w:hanging="1080"/>
      </w:pPr>
      <w:rPr>
        <w:rFonts w:hint="default"/>
      </w:rPr>
    </w:lvl>
    <w:lvl w:ilvl="6">
      <w:start w:val="1"/>
      <w:numFmt w:val="decimal"/>
      <w:lvlText w:val="%1.%2"/>
      <w:lvlJc w:val="left"/>
      <w:pPr>
        <w:tabs>
          <w:tab w:val="num" w:pos="3960"/>
        </w:tabs>
        <w:ind w:left="2160" w:hanging="1440"/>
      </w:pPr>
      <w:rPr>
        <w:rFonts w:hint="default"/>
      </w:rPr>
    </w:lvl>
    <w:lvl w:ilvl="7">
      <w:start w:val="1"/>
      <w:numFmt w:val="decimal"/>
      <w:lvlText w:val="%1.7"/>
      <w:lvlJc w:val="left"/>
      <w:pPr>
        <w:tabs>
          <w:tab w:val="num" w:pos="4320"/>
        </w:tabs>
        <w:ind w:left="2160" w:hanging="1440"/>
      </w:pPr>
      <w:rPr>
        <w:rFonts w:hint="default"/>
      </w:rPr>
    </w:lvl>
    <w:lvl w:ilvl="8">
      <w:start w:val="1"/>
      <w:numFmt w:val="decimal"/>
      <w:lvlText w:val="%1.8"/>
      <w:lvlJc w:val="left"/>
      <w:pPr>
        <w:tabs>
          <w:tab w:val="num" w:pos="5040"/>
        </w:tabs>
        <w:ind w:left="2520" w:hanging="1800"/>
      </w:pPr>
      <w:rPr>
        <w:rFonts w:hint="default"/>
      </w:rPr>
    </w:lvl>
  </w:abstractNum>
  <w:abstractNum w:abstractNumId="36">
    <w:nsid w:val="7D1A3546"/>
    <w:multiLevelType w:val="hybridMultilevel"/>
    <w:tmpl w:val="CBDEAFDC"/>
    <w:lvl w:ilvl="0" w:tplc="B57618A6">
      <w:start w:val="1"/>
      <w:numFmt w:val="lowerRoman"/>
      <w:lvlText w:val="%1."/>
      <w:lvlJc w:val="left"/>
      <w:pPr>
        <w:ind w:left="2160" w:hanging="720"/>
      </w:pPr>
      <w:rPr>
        <w:rFonts w:hint="default"/>
      </w:rPr>
    </w:lvl>
    <w:lvl w:ilvl="1" w:tplc="3F82DAEC">
      <w:start w:val="2"/>
      <w:numFmt w:val="bullet"/>
      <w:lvlText w:val="-"/>
      <w:lvlJc w:val="left"/>
      <w:pPr>
        <w:ind w:left="3600" w:hanging="1440"/>
      </w:pPr>
      <w:rPr>
        <w:rFonts w:ascii="Arial" w:eastAsia="Times New Roman"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nsid w:val="7E1A6F8D"/>
    <w:multiLevelType w:val="multilevel"/>
    <w:tmpl w:val="305CC090"/>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5"/>
  </w:num>
  <w:num w:numId="3">
    <w:abstractNumId w:val="35"/>
  </w:num>
  <w:num w:numId="4">
    <w:abstractNumId w:val="4"/>
  </w:num>
  <w:num w:numId="5">
    <w:abstractNumId w:val="5"/>
  </w:num>
  <w:num w:numId="6">
    <w:abstractNumId w:val="9"/>
  </w:num>
  <w:num w:numId="7">
    <w:abstractNumId w:val="30"/>
  </w:num>
  <w:num w:numId="8">
    <w:abstractNumId w:val="1"/>
  </w:num>
  <w:num w:numId="9">
    <w:abstractNumId w:val="28"/>
  </w:num>
  <w:num w:numId="10">
    <w:abstractNumId w:val="19"/>
  </w:num>
  <w:num w:numId="11">
    <w:abstractNumId w:val="17"/>
  </w:num>
  <w:num w:numId="12">
    <w:abstractNumId w:val="8"/>
  </w:num>
  <w:num w:numId="13">
    <w:abstractNumId w:val="20"/>
  </w:num>
  <w:num w:numId="14">
    <w:abstractNumId w:val="33"/>
  </w:num>
  <w:num w:numId="15">
    <w:abstractNumId w:val="13"/>
  </w:num>
  <w:num w:numId="16">
    <w:abstractNumId w:val="21"/>
  </w:num>
  <w:num w:numId="17">
    <w:abstractNumId w:val="31"/>
  </w:num>
  <w:num w:numId="18">
    <w:abstractNumId w:val="26"/>
  </w:num>
  <w:num w:numId="19">
    <w:abstractNumId w:val="10"/>
  </w:num>
  <w:num w:numId="20">
    <w:abstractNumId w:val="37"/>
  </w:num>
  <w:num w:numId="21">
    <w:abstractNumId w:val="14"/>
  </w:num>
  <w:num w:numId="22">
    <w:abstractNumId w:val="34"/>
  </w:num>
  <w:num w:numId="23">
    <w:abstractNumId w:val="2"/>
  </w:num>
  <w:num w:numId="24">
    <w:abstractNumId w:val="32"/>
  </w:num>
  <w:num w:numId="25">
    <w:abstractNumId w:val="36"/>
  </w:num>
  <w:num w:numId="26">
    <w:abstractNumId w:val="0"/>
  </w:num>
  <w:num w:numId="27">
    <w:abstractNumId w:val="22"/>
  </w:num>
  <w:num w:numId="28">
    <w:abstractNumId w:val="27"/>
  </w:num>
  <w:num w:numId="29">
    <w:abstractNumId w:val="16"/>
  </w:num>
  <w:num w:numId="30">
    <w:abstractNumId w:val="23"/>
  </w:num>
  <w:num w:numId="31">
    <w:abstractNumId w:val="11"/>
  </w:num>
  <w:num w:numId="32">
    <w:abstractNumId w:val="3"/>
  </w:num>
  <w:num w:numId="33">
    <w:abstractNumId w:val="29"/>
  </w:num>
  <w:num w:numId="34">
    <w:abstractNumId w:val="18"/>
  </w:num>
  <w:num w:numId="35">
    <w:abstractNumId w:val="12"/>
  </w:num>
  <w:num w:numId="36">
    <w:abstractNumId w:val="15"/>
  </w:num>
  <w:num w:numId="37">
    <w:abstractNumId w:val="24"/>
  </w:num>
  <w:num w:numId="3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9D"/>
    <w:rsid w:val="0000553E"/>
    <w:rsid w:val="00023E1F"/>
    <w:rsid w:val="00072171"/>
    <w:rsid w:val="000727D0"/>
    <w:rsid w:val="000816DF"/>
    <w:rsid w:val="0008744F"/>
    <w:rsid w:val="000977E0"/>
    <w:rsid w:val="00105FF3"/>
    <w:rsid w:val="00123DEF"/>
    <w:rsid w:val="00142B2F"/>
    <w:rsid w:val="001459A0"/>
    <w:rsid w:val="00154C1C"/>
    <w:rsid w:val="001B1A63"/>
    <w:rsid w:val="001B5CD5"/>
    <w:rsid w:val="001C0D19"/>
    <w:rsid w:val="001C74B7"/>
    <w:rsid w:val="001F0256"/>
    <w:rsid w:val="0020023A"/>
    <w:rsid w:val="002160BC"/>
    <w:rsid w:val="00222311"/>
    <w:rsid w:val="002B1ABF"/>
    <w:rsid w:val="002E290E"/>
    <w:rsid w:val="00371FA5"/>
    <w:rsid w:val="003761A2"/>
    <w:rsid w:val="003D4BB3"/>
    <w:rsid w:val="00434D75"/>
    <w:rsid w:val="00436D68"/>
    <w:rsid w:val="00465AB7"/>
    <w:rsid w:val="004B11AC"/>
    <w:rsid w:val="004B68A2"/>
    <w:rsid w:val="004D0471"/>
    <w:rsid w:val="004D370A"/>
    <w:rsid w:val="0051471B"/>
    <w:rsid w:val="005249AD"/>
    <w:rsid w:val="00536227"/>
    <w:rsid w:val="005450F8"/>
    <w:rsid w:val="00547FFE"/>
    <w:rsid w:val="00550E19"/>
    <w:rsid w:val="00577209"/>
    <w:rsid w:val="0059632C"/>
    <w:rsid w:val="005A16D6"/>
    <w:rsid w:val="005C18F4"/>
    <w:rsid w:val="005D0A6F"/>
    <w:rsid w:val="005D4F37"/>
    <w:rsid w:val="005E588D"/>
    <w:rsid w:val="00603E72"/>
    <w:rsid w:val="00616A74"/>
    <w:rsid w:val="00630E60"/>
    <w:rsid w:val="00631E42"/>
    <w:rsid w:val="00640E1A"/>
    <w:rsid w:val="00647699"/>
    <w:rsid w:val="00674778"/>
    <w:rsid w:val="00682DB0"/>
    <w:rsid w:val="006B4302"/>
    <w:rsid w:val="006D7A2F"/>
    <w:rsid w:val="006E0B2F"/>
    <w:rsid w:val="006E1311"/>
    <w:rsid w:val="006E5D03"/>
    <w:rsid w:val="0071794D"/>
    <w:rsid w:val="0072296F"/>
    <w:rsid w:val="00724655"/>
    <w:rsid w:val="0073365A"/>
    <w:rsid w:val="00747E5C"/>
    <w:rsid w:val="00793415"/>
    <w:rsid w:val="007C2735"/>
    <w:rsid w:val="007C5149"/>
    <w:rsid w:val="007C6E52"/>
    <w:rsid w:val="007D1685"/>
    <w:rsid w:val="007F2A38"/>
    <w:rsid w:val="00802B71"/>
    <w:rsid w:val="00807013"/>
    <w:rsid w:val="00837ED7"/>
    <w:rsid w:val="00850BC0"/>
    <w:rsid w:val="00855B03"/>
    <w:rsid w:val="008640F8"/>
    <w:rsid w:val="00890DDE"/>
    <w:rsid w:val="008A62BC"/>
    <w:rsid w:val="008D39F6"/>
    <w:rsid w:val="008F3B73"/>
    <w:rsid w:val="009123FD"/>
    <w:rsid w:val="00925EA9"/>
    <w:rsid w:val="00980795"/>
    <w:rsid w:val="009D5C46"/>
    <w:rsid w:val="00A02F74"/>
    <w:rsid w:val="00A134F1"/>
    <w:rsid w:val="00A35A19"/>
    <w:rsid w:val="00A432A6"/>
    <w:rsid w:val="00A67B15"/>
    <w:rsid w:val="00A7735B"/>
    <w:rsid w:val="00AA590B"/>
    <w:rsid w:val="00AA6DBE"/>
    <w:rsid w:val="00AB4C4C"/>
    <w:rsid w:val="00AC1EBF"/>
    <w:rsid w:val="00AE1039"/>
    <w:rsid w:val="00B00BBF"/>
    <w:rsid w:val="00B0191F"/>
    <w:rsid w:val="00B41159"/>
    <w:rsid w:val="00B442A6"/>
    <w:rsid w:val="00B475B5"/>
    <w:rsid w:val="00B47FE6"/>
    <w:rsid w:val="00B6072E"/>
    <w:rsid w:val="00B70E58"/>
    <w:rsid w:val="00BA2C3F"/>
    <w:rsid w:val="00BB184B"/>
    <w:rsid w:val="00BC05AF"/>
    <w:rsid w:val="00BC7506"/>
    <w:rsid w:val="00BD4140"/>
    <w:rsid w:val="00BF3A47"/>
    <w:rsid w:val="00C50635"/>
    <w:rsid w:val="00C5137D"/>
    <w:rsid w:val="00C513FB"/>
    <w:rsid w:val="00C6509A"/>
    <w:rsid w:val="00C751E4"/>
    <w:rsid w:val="00CC3474"/>
    <w:rsid w:val="00CE01DA"/>
    <w:rsid w:val="00CF379D"/>
    <w:rsid w:val="00D119FC"/>
    <w:rsid w:val="00D13152"/>
    <w:rsid w:val="00D3202B"/>
    <w:rsid w:val="00DB0B10"/>
    <w:rsid w:val="00DE6BD9"/>
    <w:rsid w:val="00E14811"/>
    <w:rsid w:val="00E34D9E"/>
    <w:rsid w:val="00E71564"/>
    <w:rsid w:val="00ED0A05"/>
    <w:rsid w:val="00EF6F25"/>
    <w:rsid w:val="00F02B26"/>
    <w:rsid w:val="00F03482"/>
    <w:rsid w:val="00F07781"/>
    <w:rsid w:val="00F26968"/>
    <w:rsid w:val="00F27F86"/>
    <w:rsid w:val="00F34AFF"/>
    <w:rsid w:val="00F520C2"/>
    <w:rsid w:val="00F614AC"/>
    <w:rsid w:val="00FB5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159"/>
    <w:pPr>
      <w:ind w:left="720"/>
      <w:contextualSpacing/>
    </w:pPr>
  </w:style>
  <w:style w:type="paragraph" w:styleId="BalloonText">
    <w:name w:val="Balloon Text"/>
    <w:basedOn w:val="Normal"/>
    <w:link w:val="BalloonTextChar"/>
    <w:rsid w:val="00631E42"/>
    <w:rPr>
      <w:rFonts w:ascii="Tahoma" w:hAnsi="Tahoma" w:cs="Tahoma"/>
      <w:sz w:val="16"/>
      <w:szCs w:val="16"/>
    </w:rPr>
  </w:style>
  <w:style w:type="character" w:customStyle="1" w:styleId="BalloonTextChar">
    <w:name w:val="Balloon Text Char"/>
    <w:basedOn w:val="DefaultParagraphFont"/>
    <w:link w:val="BalloonText"/>
    <w:rsid w:val="00631E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159"/>
    <w:pPr>
      <w:ind w:left="720"/>
      <w:contextualSpacing/>
    </w:pPr>
  </w:style>
  <w:style w:type="paragraph" w:styleId="BalloonText">
    <w:name w:val="Balloon Text"/>
    <w:basedOn w:val="Normal"/>
    <w:link w:val="BalloonTextChar"/>
    <w:rsid w:val="00631E42"/>
    <w:rPr>
      <w:rFonts w:ascii="Tahoma" w:hAnsi="Tahoma" w:cs="Tahoma"/>
      <w:sz w:val="16"/>
      <w:szCs w:val="16"/>
    </w:rPr>
  </w:style>
  <w:style w:type="character" w:customStyle="1" w:styleId="BalloonTextChar">
    <w:name w:val="Balloon Text Char"/>
    <w:basedOn w:val="DefaultParagraphFont"/>
    <w:link w:val="BalloonText"/>
    <w:rsid w:val="00631E4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emocratic%20Keep\Council%20&amp;%20Committees\Executive\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BACB-E592-45F7-802A-473C38C9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39</TotalTime>
  <Pages>4</Pages>
  <Words>1042</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Claire Davies</dc:creator>
  <cp:lastModifiedBy>Anne Ireson</cp:lastModifiedBy>
  <cp:revision>4</cp:revision>
  <cp:lastPrinted>2015-08-27T09:59:00Z</cp:lastPrinted>
  <dcterms:created xsi:type="dcterms:W3CDTF">2015-08-20T11:04:00Z</dcterms:created>
  <dcterms:modified xsi:type="dcterms:W3CDTF">2015-08-27T10:00:00Z</dcterms:modified>
</cp:coreProperties>
</file>