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EB" w:rsidRDefault="00BA14EB" w:rsidP="00BA14EB"/>
    <w:tbl>
      <w:tblPr>
        <w:tblStyle w:val="TableGrid"/>
        <w:tblW w:w="0" w:type="auto"/>
        <w:tblLook w:val="04A0" w:firstRow="1" w:lastRow="0" w:firstColumn="1" w:lastColumn="0" w:noHBand="0" w:noVBand="1"/>
      </w:tblPr>
      <w:tblGrid>
        <w:gridCol w:w="9242"/>
      </w:tblGrid>
      <w:tr w:rsidR="00BA14EB" w:rsidTr="00133E80">
        <w:trPr>
          <w:trHeight w:val="1978"/>
        </w:trPr>
        <w:tc>
          <w:tcPr>
            <w:tcW w:w="9242" w:type="dxa"/>
          </w:tcPr>
          <w:p w:rsidR="00355AD1" w:rsidRDefault="00355AD1" w:rsidP="00355AD1">
            <w:pPr>
              <w:ind w:left="612"/>
              <w:rPr>
                <w:rFonts w:ascii="Arial" w:hAnsi="Arial" w:cs="Arial"/>
                <w:b/>
                <w:bCs/>
                <w:u w:val="single"/>
              </w:rPr>
            </w:pPr>
          </w:p>
          <w:p w:rsidR="00BA14EB" w:rsidRPr="00221225" w:rsidRDefault="00BA14EB" w:rsidP="00133E80">
            <w:pPr>
              <w:numPr>
                <w:ilvl w:val="0"/>
                <w:numId w:val="1"/>
              </w:numPr>
              <w:tabs>
                <w:tab w:val="clear" w:pos="1080"/>
                <w:tab w:val="num" w:pos="612"/>
              </w:tabs>
              <w:ind w:left="612" w:hanging="540"/>
              <w:rPr>
                <w:rFonts w:ascii="Arial" w:hAnsi="Arial" w:cs="Arial"/>
                <w:b/>
                <w:bCs/>
                <w:u w:val="single"/>
              </w:rPr>
            </w:pPr>
            <w:r w:rsidRPr="00221225">
              <w:rPr>
                <w:rFonts w:ascii="Arial" w:hAnsi="Arial" w:cs="Arial"/>
                <w:b/>
                <w:bCs/>
                <w:u w:val="single"/>
              </w:rPr>
              <w:t>PURPOSE OF REPORT</w:t>
            </w:r>
          </w:p>
          <w:p w:rsidR="00BA14EB" w:rsidRPr="00A46D5B" w:rsidRDefault="00BA14EB" w:rsidP="00133E80">
            <w:pPr>
              <w:ind w:left="612"/>
              <w:jc w:val="both"/>
              <w:rPr>
                <w:rFonts w:ascii="Arial" w:hAnsi="Arial" w:cs="Arial"/>
              </w:rPr>
            </w:pPr>
          </w:p>
          <w:p w:rsidR="00BA14EB" w:rsidRPr="00221225" w:rsidRDefault="00BA14EB" w:rsidP="00221225">
            <w:pPr>
              <w:ind w:left="567"/>
              <w:jc w:val="both"/>
              <w:rPr>
                <w:rFonts w:ascii="Arial" w:hAnsi="Arial" w:cs="Arial"/>
              </w:rPr>
            </w:pPr>
            <w:r w:rsidRPr="00221225">
              <w:rPr>
                <w:rFonts w:ascii="Arial" w:hAnsi="Arial" w:cs="Arial"/>
              </w:rPr>
              <w:t xml:space="preserve">To inform Members of the </w:t>
            </w:r>
            <w:r w:rsidR="00E8565C" w:rsidRPr="00221225">
              <w:rPr>
                <w:rFonts w:ascii="Arial" w:hAnsi="Arial" w:cs="Arial"/>
              </w:rPr>
              <w:t>Background P</w:t>
            </w:r>
            <w:r w:rsidRPr="00221225">
              <w:rPr>
                <w:rFonts w:ascii="Arial" w:hAnsi="Arial" w:cs="Arial"/>
              </w:rPr>
              <w:t xml:space="preserve">aper </w:t>
            </w:r>
            <w:r w:rsidR="00535433" w:rsidRPr="00221225">
              <w:rPr>
                <w:rFonts w:ascii="Arial" w:hAnsi="Arial" w:cs="Arial"/>
              </w:rPr>
              <w:t>SSP LDD</w:t>
            </w:r>
            <w:r w:rsidR="00E8565C" w:rsidRPr="00221225">
              <w:rPr>
                <w:rFonts w:ascii="Arial" w:hAnsi="Arial" w:cs="Arial"/>
              </w:rPr>
              <w:t>: Settlement Bo</w:t>
            </w:r>
            <w:r w:rsidR="00984F3E" w:rsidRPr="00221225">
              <w:rPr>
                <w:rFonts w:ascii="Arial" w:hAnsi="Arial" w:cs="Arial"/>
              </w:rPr>
              <w:t>undaries (Update) September 2015</w:t>
            </w:r>
            <w:r w:rsidR="00E8565C" w:rsidRPr="00221225">
              <w:rPr>
                <w:rFonts w:ascii="Arial" w:hAnsi="Arial" w:cs="Arial"/>
              </w:rPr>
              <w:t xml:space="preserve"> </w:t>
            </w:r>
            <w:r w:rsidRPr="00221225">
              <w:rPr>
                <w:rFonts w:ascii="Arial" w:hAnsi="Arial" w:cs="Arial"/>
              </w:rPr>
              <w:t>which updates the existing settlemen</w:t>
            </w:r>
            <w:r w:rsidR="00E8565C" w:rsidRPr="00221225">
              <w:rPr>
                <w:rFonts w:ascii="Arial" w:hAnsi="Arial" w:cs="Arial"/>
              </w:rPr>
              <w:t>t boundaries within the borough. Approval of the Background Paper is sought, together with endorsement to progress</w:t>
            </w:r>
            <w:r w:rsidRPr="00221225">
              <w:rPr>
                <w:rFonts w:ascii="Arial" w:hAnsi="Arial" w:cs="Arial"/>
              </w:rPr>
              <w:t xml:space="preserve"> public consultation,</w:t>
            </w:r>
            <w:r w:rsidR="00E8565C" w:rsidRPr="00221225">
              <w:rPr>
                <w:rFonts w:ascii="Arial" w:hAnsi="Arial" w:cs="Arial"/>
              </w:rPr>
              <w:t xml:space="preserve"> following </w:t>
            </w:r>
            <w:r w:rsidRPr="00221225">
              <w:rPr>
                <w:rFonts w:ascii="Arial" w:hAnsi="Arial" w:cs="Arial"/>
              </w:rPr>
              <w:t xml:space="preserve">inclusion of housing </w:t>
            </w:r>
            <w:r w:rsidR="00E8565C" w:rsidRPr="00221225">
              <w:rPr>
                <w:rFonts w:ascii="Arial" w:hAnsi="Arial" w:cs="Arial"/>
              </w:rPr>
              <w:t>and employment site allocations.</w:t>
            </w:r>
          </w:p>
          <w:p w:rsidR="00BA14EB" w:rsidRDefault="00BA14EB" w:rsidP="00133E80">
            <w:pPr>
              <w:pStyle w:val="ListParagraph"/>
              <w:ind w:left="420"/>
              <w:jc w:val="both"/>
            </w:pPr>
            <w:r w:rsidRPr="007A4DA1">
              <w:rPr>
                <w:rFonts w:ascii="Arial" w:hAnsi="Arial" w:cs="Arial"/>
              </w:rPr>
              <w:t xml:space="preserve"> </w:t>
            </w:r>
          </w:p>
        </w:tc>
      </w:tr>
    </w:tbl>
    <w:p w:rsidR="00BA14EB" w:rsidRPr="006E796C" w:rsidRDefault="00BA14EB" w:rsidP="00BA14EB">
      <w:pPr>
        <w:ind w:left="567" w:hanging="567"/>
        <w:jc w:val="both"/>
        <w:rPr>
          <w:rFonts w:ascii="Arial" w:hAnsi="Arial" w:cs="Arial"/>
        </w:rPr>
      </w:pPr>
    </w:p>
    <w:p w:rsidR="00BA14EB" w:rsidRPr="0003361F" w:rsidRDefault="00BA14EB" w:rsidP="00BA14EB">
      <w:pPr>
        <w:ind w:left="567" w:hanging="567"/>
        <w:jc w:val="both"/>
        <w:rPr>
          <w:rFonts w:ascii="Arial" w:hAnsi="Arial" w:cs="Arial"/>
          <w:b/>
          <w:u w:val="single"/>
        </w:rPr>
      </w:pPr>
      <w:r>
        <w:rPr>
          <w:rFonts w:ascii="Arial" w:hAnsi="Arial" w:cs="Arial"/>
          <w:b/>
        </w:rPr>
        <w:t>2.</w:t>
      </w:r>
      <w:r>
        <w:rPr>
          <w:rFonts w:ascii="Arial" w:hAnsi="Arial" w:cs="Arial"/>
          <w:b/>
        </w:rPr>
        <w:tab/>
      </w:r>
      <w:r>
        <w:rPr>
          <w:rFonts w:ascii="Arial" w:hAnsi="Arial" w:cs="Arial"/>
          <w:b/>
          <w:u w:val="single"/>
        </w:rPr>
        <w:t>INTRODUCTION</w:t>
      </w:r>
    </w:p>
    <w:p w:rsidR="00BA14EB" w:rsidRDefault="00BA14EB" w:rsidP="00BA14EB">
      <w:pPr>
        <w:ind w:left="540"/>
        <w:jc w:val="both"/>
        <w:rPr>
          <w:rFonts w:ascii="Arial" w:hAnsi="Arial" w:cs="Arial"/>
          <w:lang w:eastAsia="en-GB"/>
        </w:rPr>
      </w:pPr>
    </w:p>
    <w:p w:rsidR="00BA14EB" w:rsidRDefault="00BA14EB" w:rsidP="00BA14EB">
      <w:pPr>
        <w:numPr>
          <w:ilvl w:val="1"/>
          <w:numId w:val="2"/>
        </w:numPr>
        <w:tabs>
          <w:tab w:val="clear" w:pos="360"/>
          <w:tab w:val="num" w:pos="540"/>
        </w:tabs>
        <w:ind w:left="540" w:hanging="540"/>
        <w:jc w:val="both"/>
        <w:rPr>
          <w:rFonts w:ascii="Arial" w:hAnsi="Arial" w:cs="Arial"/>
          <w:lang w:eastAsia="en-GB"/>
        </w:rPr>
      </w:pPr>
      <w:r w:rsidRPr="00B94DD2">
        <w:rPr>
          <w:rFonts w:ascii="Arial" w:hAnsi="Arial" w:cs="Arial"/>
        </w:rPr>
        <w:t>On 4</w:t>
      </w:r>
      <w:r w:rsidRPr="00B94DD2">
        <w:rPr>
          <w:rFonts w:ascii="Arial" w:hAnsi="Arial" w:cs="Arial"/>
          <w:vertAlign w:val="superscript"/>
        </w:rPr>
        <w:t>th</w:t>
      </w:r>
      <w:r w:rsidR="00B94DD2" w:rsidRPr="00B94DD2">
        <w:rPr>
          <w:rFonts w:ascii="Arial" w:hAnsi="Arial" w:cs="Arial"/>
        </w:rPr>
        <w:t xml:space="preserve"> October 2011</w:t>
      </w:r>
      <w:r w:rsidR="00BF0C16" w:rsidRPr="00F04E37">
        <w:rPr>
          <w:rFonts w:ascii="Arial" w:hAnsi="Arial" w:cs="Arial"/>
        </w:rPr>
        <w:t>,</w:t>
      </w:r>
      <w:r w:rsidR="00B94DD2" w:rsidRPr="00B94DD2">
        <w:rPr>
          <w:rFonts w:ascii="Arial" w:hAnsi="Arial" w:cs="Arial"/>
        </w:rPr>
        <w:t xml:space="preserve"> M</w:t>
      </w:r>
      <w:r w:rsidRPr="00B94DD2">
        <w:rPr>
          <w:rFonts w:ascii="Arial" w:hAnsi="Arial" w:cs="Arial"/>
        </w:rPr>
        <w:t>embers were provided with a series of background papers which were prepared to support the progression of the Site Specific Propo</w:t>
      </w:r>
      <w:r w:rsidR="00B94DD2" w:rsidRPr="00B94DD2">
        <w:rPr>
          <w:rFonts w:ascii="Arial" w:hAnsi="Arial" w:cs="Arial"/>
        </w:rPr>
        <w:t>sals Local Development Document (SSP</w:t>
      </w:r>
      <w:r w:rsidR="00B94DD2">
        <w:rPr>
          <w:rFonts w:ascii="Arial" w:hAnsi="Arial" w:cs="Arial"/>
        </w:rPr>
        <w:t xml:space="preserve"> </w:t>
      </w:r>
      <w:r w:rsidR="00B94DD2" w:rsidRPr="00B94DD2">
        <w:rPr>
          <w:rFonts w:ascii="Arial" w:hAnsi="Arial" w:cs="Arial"/>
        </w:rPr>
        <w:t xml:space="preserve">LDD). </w:t>
      </w:r>
    </w:p>
    <w:p w:rsidR="00B94DD2" w:rsidRPr="00B94DD2" w:rsidRDefault="00B94DD2" w:rsidP="00B94DD2">
      <w:pPr>
        <w:ind w:left="540"/>
        <w:jc w:val="both"/>
        <w:rPr>
          <w:rFonts w:ascii="Arial" w:hAnsi="Arial" w:cs="Arial"/>
          <w:lang w:eastAsia="en-GB"/>
        </w:rPr>
      </w:pPr>
    </w:p>
    <w:p w:rsidR="00BA14EB" w:rsidRPr="000E629F" w:rsidRDefault="00BA14EB" w:rsidP="00BA14EB">
      <w:pPr>
        <w:numPr>
          <w:ilvl w:val="1"/>
          <w:numId w:val="2"/>
        </w:numPr>
        <w:tabs>
          <w:tab w:val="clear" w:pos="360"/>
          <w:tab w:val="num" w:pos="540"/>
        </w:tabs>
        <w:ind w:left="540" w:hanging="540"/>
        <w:jc w:val="both"/>
        <w:rPr>
          <w:rFonts w:ascii="Arial" w:hAnsi="Arial" w:cs="Arial"/>
          <w:lang w:eastAsia="en-GB"/>
        </w:rPr>
      </w:pPr>
      <w:r>
        <w:rPr>
          <w:rFonts w:ascii="Arial" w:hAnsi="Arial" w:cs="Arial"/>
        </w:rPr>
        <w:t xml:space="preserve">One of these </w:t>
      </w:r>
      <w:r w:rsidR="00B94DD2">
        <w:rPr>
          <w:rFonts w:ascii="Arial" w:hAnsi="Arial" w:cs="Arial"/>
        </w:rPr>
        <w:t>was</w:t>
      </w:r>
      <w:r>
        <w:rPr>
          <w:rFonts w:ascii="Arial" w:hAnsi="Arial" w:cs="Arial"/>
        </w:rPr>
        <w:t xml:space="preserve"> a background </w:t>
      </w:r>
      <w:r w:rsidR="00B94DD2">
        <w:rPr>
          <w:rFonts w:ascii="Arial" w:hAnsi="Arial" w:cs="Arial"/>
        </w:rPr>
        <w:t>paper on Settlement Boundaries, that</w:t>
      </w:r>
      <w:r>
        <w:rPr>
          <w:rFonts w:ascii="Arial" w:hAnsi="Arial" w:cs="Arial"/>
        </w:rPr>
        <w:t xml:space="preserve"> was informed by consultation responses on the SSP</w:t>
      </w:r>
      <w:r w:rsidR="00B94DD2">
        <w:rPr>
          <w:rFonts w:ascii="Arial" w:hAnsi="Arial" w:cs="Arial"/>
        </w:rPr>
        <w:t xml:space="preserve"> </w:t>
      </w:r>
      <w:r>
        <w:rPr>
          <w:rFonts w:ascii="Arial" w:hAnsi="Arial" w:cs="Arial"/>
        </w:rPr>
        <w:t>LDD Issues Consultation, which took place between March and April 2009. The consultation gave rise to a</w:t>
      </w:r>
      <w:r w:rsidRPr="000E629F">
        <w:rPr>
          <w:rFonts w:ascii="Arial" w:hAnsi="Arial" w:cs="Arial"/>
        </w:rPr>
        <w:t xml:space="preserve"> general preference towards the </w:t>
      </w:r>
      <w:r w:rsidR="00B94DD2">
        <w:rPr>
          <w:rFonts w:ascii="Arial" w:hAnsi="Arial" w:cs="Arial"/>
        </w:rPr>
        <w:t xml:space="preserve">continued </w:t>
      </w:r>
      <w:r w:rsidRPr="000E629F">
        <w:rPr>
          <w:rFonts w:ascii="Arial" w:hAnsi="Arial" w:cs="Arial"/>
        </w:rPr>
        <w:t>use of settlement boundaries</w:t>
      </w:r>
      <w:r w:rsidR="00B94DD2">
        <w:rPr>
          <w:rFonts w:ascii="Arial" w:hAnsi="Arial" w:cs="Arial"/>
        </w:rPr>
        <w:t xml:space="preserve"> accommodating </w:t>
      </w:r>
      <w:r w:rsidRPr="000E629F">
        <w:rPr>
          <w:rFonts w:ascii="Arial" w:hAnsi="Arial" w:cs="Arial"/>
        </w:rPr>
        <w:t>amendments to</w:t>
      </w:r>
      <w:r w:rsidR="00B94DD2">
        <w:rPr>
          <w:rFonts w:ascii="Arial" w:hAnsi="Arial" w:cs="Arial"/>
        </w:rPr>
        <w:t xml:space="preserve"> the</w:t>
      </w:r>
      <w:r w:rsidRPr="000E629F">
        <w:rPr>
          <w:rFonts w:ascii="Arial" w:hAnsi="Arial" w:cs="Arial"/>
        </w:rPr>
        <w:t xml:space="preserve"> existing Local Plan settlement boundaries</w:t>
      </w:r>
      <w:r>
        <w:rPr>
          <w:rFonts w:ascii="Arial" w:hAnsi="Arial" w:cs="Arial"/>
        </w:rPr>
        <w:t>. This</w:t>
      </w:r>
      <w:r w:rsidRPr="000E629F">
        <w:rPr>
          <w:rFonts w:ascii="Arial" w:hAnsi="Arial" w:cs="Arial"/>
        </w:rPr>
        <w:t xml:space="preserve"> was reported </w:t>
      </w:r>
      <w:r w:rsidR="00B94DD2">
        <w:rPr>
          <w:rFonts w:ascii="Arial" w:hAnsi="Arial" w:cs="Arial"/>
        </w:rPr>
        <w:t>and agreed by</w:t>
      </w:r>
      <w:r w:rsidRPr="000E629F">
        <w:rPr>
          <w:rFonts w:ascii="Arial" w:hAnsi="Arial" w:cs="Arial"/>
        </w:rPr>
        <w:t xml:space="preserve"> </w:t>
      </w:r>
      <w:r w:rsidR="00B94DD2">
        <w:rPr>
          <w:rFonts w:ascii="Arial" w:hAnsi="Arial" w:cs="Arial"/>
        </w:rPr>
        <w:t>M</w:t>
      </w:r>
      <w:r w:rsidRPr="000E629F">
        <w:rPr>
          <w:rFonts w:ascii="Arial" w:hAnsi="Arial" w:cs="Arial"/>
        </w:rPr>
        <w:t xml:space="preserve">embers at </w:t>
      </w:r>
      <w:r w:rsidR="00B94DD2">
        <w:rPr>
          <w:rFonts w:ascii="Arial" w:hAnsi="Arial" w:cs="Arial"/>
        </w:rPr>
        <w:t xml:space="preserve">the </w:t>
      </w:r>
      <w:r w:rsidRPr="000E629F">
        <w:rPr>
          <w:rFonts w:ascii="Arial" w:hAnsi="Arial" w:cs="Arial"/>
        </w:rPr>
        <w:t>Planning Policy Committee on 1</w:t>
      </w:r>
      <w:r w:rsidRPr="000E629F">
        <w:rPr>
          <w:rFonts w:ascii="Arial" w:hAnsi="Arial" w:cs="Arial"/>
          <w:vertAlign w:val="superscript"/>
        </w:rPr>
        <w:t>st</w:t>
      </w:r>
      <w:r w:rsidRPr="000E629F">
        <w:rPr>
          <w:rFonts w:ascii="Arial" w:hAnsi="Arial" w:cs="Arial"/>
        </w:rPr>
        <w:t xml:space="preserve"> </w:t>
      </w:r>
      <w:r>
        <w:rPr>
          <w:rFonts w:ascii="Arial" w:hAnsi="Arial" w:cs="Arial"/>
        </w:rPr>
        <w:t>September 2009, and subsequently taken forward.</w:t>
      </w:r>
      <w:r w:rsidRPr="000E629F">
        <w:rPr>
          <w:rFonts w:ascii="Arial" w:hAnsi="Arial" w:cs="Arial"/>
        </w:rPr>
        <w:t xml:space="preserve"> </w:t>
      </w:r>
    </w:p>
    <w:p w:rsidR="00BA14EB" w:rsidRDefault="00BA14EB" w:rsidP="00BA14EB">
      <w:pPr>
        <w:jc w:val="both"/>
        <w:rPr>
          <w:rFonts w:ascii="Arial" w:hAnsi="Arial" w:cs="Arial"/>
          <w:lang w:eastAsia="en-GB"/>
        </w:rPr>
      </w:pPr>
    </w:p>
    <w:p w:rsidR="00BF0C16" w:rsidRPr="00535433" w:rsidRDefault="00BA14EB" w:rsidP="00BA14EB">
      <w:pPr>
        <w:numPr>
          <w:ilvl w:val="1"/>
          <w:numId w:val="2"/>
        </w:numPr>
        <w:tabs>
          <w:tab w:val="clear" w:pos="360"/>
          <w:tab w:val="num" w:pos="540"/>
        </w:tabs>
        <w:ind w:left="540" w:hanging="540"/>
        <w:jc w:val="both"/>
        <w:rPr>
          <w:rFonts w:ascii="Arial" w:hAnsi="Arial" w:cs="Arial"/>
          <w:lang w:eastAsia="en-GB"/>
        </w:rPr>
      </w:pPr>
      <w:r w:rsidRPr="00535433">
        <w:rPr>
          <w:rFonts w:ascii="Arial" w:hAnsi="Arial" w:cs="Arial"/>
          <w:lang w:eastAsia="en-GB"/>
        </w:rPr>
        <w:t xml:space="preserve">The current iteration of the </w:t>
      </w:r>
      <w:r w:rsidRPr="00535433">
        <w:rPr>
          <w:rFonts w:ascii="Arial" w:hAnsi="Arial" w:cs="Arial"/>
        </w:rPr>
        <w:t xml:space="preserve">Settlement Boundaries </w:t>
      </w:r>
      <w:r w:rsidR="00B94DD2" w:rsidRPr="00535433">
        <w:rPr>
          <w:rFonts w:ascii="Arial" w:hAnsi="Arial" w:cs="Arial"/>
        </w:rPr>
        <w:t xml:space="preserve">SSP LDD Background Paper </w:t>
      </w:r>
      <w:r w:rsidRPr="00535433">
        <w:rPr>
          <w:rFonts w:ascii="Arial" w:hAnsi="Arial" w:cs="Arial"/>
        </w:rPr>
        <w:t xml:space="preserve">(February 2012) builds on this work and provides an evidence base for setting out an approach to development in the countryside, </w:t>
      </w:r>
      <w:r w:rsidR="001C0DAA" w:rsidRPr="00535433">
        <w:rPr>
          <w:rFonts w:ascii="Arial" w:hAnsi="Arial" w:cs="Arial"/>
        </w:rPr>
        <w:t xml:space="preserve">and identifying </w:t>
      </w:r>
      <w:r w:rsidRPr="00535433">
        <w:rPr>
          <w:rFonts w:ascii="Arial" w:hAnsi="Arial" w:cs="Arial"/>
        </w:rPr>
        <w:t>settlement boundar</w:t>
      </w:r>
      <w:r w:rsidR="001C0DAA" w:rsidRPr="00535433">
        <w:rPr>
          <w:rFonts w:ascii="Arial" w:hAnsi="Arial" w:cs="Arial"/>
        </w:rPr>
        <w:t>ies</w:t>
      </w:r>
      <w:r w:rsidRPr="00535433">
        <w:rPr>
          <w:rFonts w:ascii="Arial" w:hAnsi="Arial" w:cs="Arial"/>
        </w:rPr>
        <w:t xml:space="preserve">. </w:t>
      </w:r>
      <w:r w:rsidR="00984F3E" w:rsidRPr="00535433">
        <w:rPr>
          <w:rFonts w:ascii="Arial" w:hAnsi="Arial" w:cs="Arial"/>
        </w:rPr>
        <w:t xml:space="preserve">A copy of the 2012 Background Paper is attached as </w:t>
      </w:r>
      <w:r w:rsidR="00984F3E" w:rsidRPr="003B3DE6">
        <w:rPr>
          <w:rFonts w:ascii="Arial" w:hAnsi="Arial" w:cs="Arial"/>
          <w:b/>
        </w:rPr>
        <w:t>Appendix 2</w:t>
      </w:r>
      <w:r w:rsidR="001C0DAA" w:rsidRPr="00535433">
        <w:rPr>
          <w:rFonts w:ascii="Arial" w:hAnsi="Arial" w:cs="Arial"/>
        </w:rPr>
        <w:t>.</w:t>
      </w:r>
      <w:r w:rsidR="00984F3E" w:rsidRPr="00535433">
        <w:rPr>
          <w:rFonts w:ascii="Arial" w:hAnsi="Arial" w:cs="Arial"/>
        </w:rPr>
        <w:t xml:space="preserve"> </w:t>
      </w:r>
      <w:r w:rsidRPr="00535433">
        <w:rPr>
          <w:rFonts w:ascii="Arial" w:hAnsi="Arial" w:cs="Arial"/>
        </w:rPr>
        <w:t>A revised methodology for defining settlement boundary principles was also adopted, which takes into account earlier SPP</w:t>
      </w:r>
      <w:r w:rsidR="00B94DD2" w:rsidRPr="00535433">
        <w:rPr>
          <w:rFonts w:ascii="Arial" w:hAnsi="Arial" w:cs="Arial"/>
        </w:rPr>
        <w:t xml:space="preserve"> </w:t>
      </w:r>
      <w:r w:rsidRPr="00535433">
        <w:rPr>
          <w:rFonts w:ascii="Arial" w:hAnsi="Arial" w:cs="Arial"/>
        </w:rPr>
        <w:t xml:space="preserve">LDD Issues Paper Consultation responses. </w:t>
      </w:r>
      <w:r w:rsidR="00E55FE0" w:rsidRPr="00535433">
        <w:rPr>
          <w:rFonts w:ascii="Arial" w:hAnsi="Arial" w:cs="Arial"/>
        </w:rPr>
        <w:t>Section 3 below sets out in more detail the local and national planning policy context for adopting a settlement boundary approach to settlements.</w:t>
      </w:r>
    </w:p>
    <w:p w:rsidR="00BF0C16" w:rsidRDefault="00BF0C16" w:rsidP="00BF0C16">
      <w:pPr>
        <w:pStyle w:val="ListParagraph"/>
        <w:rPr>
          <w:rFonts w:ascii="Arial" w:hAnsi="Arial" w:cs="Arial"/>
        </w:rPr>
      </w:pPr>
    </w:p>
    <w:p w:rsidR="0010129D" w:rsidRPr="00BF0C16" w:rsidRDefault="001F0FE0" w:rsidP="0010129D">
      <w:pPr>
        <w:ind w:left="540"/>
        <w:jc w:val="both"/>
        <w:rPr>
          <w:rFonts w:ascii="Arial" w:hAnsi="Arial" w:cs="Arial"/>
          <w:lang w:eastAsia="en-GB"/>
        </w:rPr>
      </w:pPr>
      <w:r w:rsidRPr="00E8565C">
        <w:rPr>
          <w:rFonts w:ascii="Arial" w:hAnsi="Arial" w:cs="Arial"/>
        </w:rPr>
        <w:lastRenderedPageBreak/>
        <w:t>In summary, these principles provide a systematic framework for defining the exten</w:t>
      </w:r>
      <w:r w:rsidR="00E8565C" w:rsidRPr="00E8565C">
        <w:rPr>
          <w:rFonts w:ascii="Arial" w:hAnsi="Arial" w:cs="Arial"/>
        </w:rPr>
        <w:t xml:space="preserve">t of each individual settlement. </w:t>
      </w:r>
      <w:r w:rsidR="0010129D">
        <w:rPr>
          <w:rFonts w:ascii="Arial" w:hAnsi="Arial" w:cs="Arial"/>
        </w:rPr>
        <w:t xml:space="preserve">The 2012 Background Paper </w:t>
      </w:r>
      <w:r w:rsidR="0010129D" w:rsidRPr="00BF0C16">
        <w:rPr>
          <w:rFonts w:ascii="Arial" w:hAnsi="Arial" w:cs="Arial"/>
        </w:rPr>
        <w:t>contains full det</w:t>
      </w:r>
      <w:r w:rsidR="0010129D">
        <w:rPr>
          <w:rFonts w:ascii="Arial" w:hAnsi="Arial" w:cs="Arial"/>
        </w:rPr>
        <w:t>ails of the four defining principles, but a summary is provided as follows:</w:t>
      </w:r>
    </w:p>
    <w:p w:rsidR="00BF0C16" w:rsidRPr="00535433" w:rsidRDefault="00BF0C16" w:rsidP="00BF0C16">
      <w:pPr>
        <w:pStyle w:val="ListParagraph"/>
        <w:rPr>
          <w:rFonts w:ascii="Arial" w:hAnsi="Arial" w:cs="Arial"/>
        </w:rPr>
      </w:pPr>
    </w:p>
    <w:p w:rsidR="00BF0C16" w:rsidRPr="0010129D" w:rsidRDefault="0010129D" w:rsidP="0010129D">
      <w:pPr>
        <w:tabs>
          <w:tab w:val="left" w:pos="851"/>
          <w:tab w:val="left" w:pos="993"/>
        </w:tabs>
        <w:ind w:left="851" w:hanging="284"/>
        <w:jc w:val="both"/>
        <w:rPr>
          <w:rFonts w:ascii="Arial" w:hAnsi="Arial" w:cs="Arial"/>
        </w:rPr>
      </w:pPr>
      <w:r w:rsidRPr="0010129D">
        <w:rPr>
          <w:rFonts w:ascii="Arial" w:hAnsi="Arial" w:cs="Arial"/>
        </w:rPr>
        <w:t>1)</w:t>
      </w:r>
      <w:r w:rsidRPr="0010129D">
        <w:rPr>
          <w:rFonts w:ascii="Arial" w:hAnsi="Arial" w:cs="Arial"/>
        </w:rPr>
        <w:tab/>
        <w:t>Securing tightly drawn boundaries which follow defining features such as walls, highways and hedgerows.</w:t>
      </w:r>
    </w:p>
    <w:p w:rsidR="00BF0C16" w:rsidRPr="0010129D" w:rsidRDefault="0010129D" w:rsidP="0010129D">
      <w:pPr>
        <w:tabs>
          <w:tab w:val="left" w:pos="851"/>
          <w:tab w:val="left" w:pos="993"/>
        </w:tabs>
        <w:ind w:left="851" w:hanging="284"/>
        <w:jc w:val="both"/>
        <w:rPr>
          <w:rFonts w:ascii="Arial" w:hAnsi="Arial" w:cs="Arial"/>
        </w:rPr>
      </w:pPr>
      <w:r w:rsidRPr="0010129D">
        <w:rPr>
          <w:rFonts w:ascii="Arial" w:hAnsi="Arial" w:cs="Arial"/>
        </w:rPr>
        <w:t>2)</w:t>
      </w:r>
      <w:r w:rsidRPr="0010129D">
        <w:rPr>
          <w:rFonts w:ascii="Arial" w:hAnsi="Arial" w:cs="Arial"/>
        </w:rPr>
        <w:tab/>
        <w:t>I</w:t>
      </w:r>
      <w:r w:rsidR="00846D1B" w:rsidRPr="0010129D">
        <w:rPr>
          <w:rFonts w:ascii="Arial" w:hAnsi="Arial" w:cs="Arial"/>
        </w:rPr>
        <w:t>nclusion of extant planning permissions, community facilities, new allocations (excluding affordable housing allocations); and clearly defined cu</w:t>
      </w:r>
      <w:r w:rsidRPr="0010129D">
        <w:rPr>
          <w:rFonts w:ascii="Arial" w:hAnsi="Arial" w:cs="Arial"/>
        </w:rPr>
        <w:t>rtilages.</w:t>
      </w:r>
    </w:p>
    <w:p w:rsidR="0010129D" w:rsidRPr="0010129D" w:rsidRDefault="00BF0C16" w:rsidP="0010129D">
      <w:pPr>
        <w:tabs>
          <w:tab w:val="left" w:pos="851"/>
          <w:tab w:val="left" w:pos="993"/>
        </w:tabs>
        <w:ind w:left="851" w:hanging="284"/>
        <w:jc w:val="both"/>
        <w:rPr>
          <w:rFonts w:ascii="Arial" w:hAnsi="Arial" w:cs="Arial"/>
        </w:rPr>
      </w:pPr>
      <w:r w:rsidRPr="0010129D">
        <w:rPr>
          <w:rFonts w:ascii="Arial" w:hAnsi="Arial" w:cs="Arial"/>
        </w:rPr>
        <w:t xml:space="preserve">3) </w:t>
      </w:r>
      <w:r w:rsidR="0010129D" w:rsidRPr="0010129D">
        <w:rPr>
          <w:rFonts w:ascii="Arial" w:hAnsi="Arial" w:cs="Arial"/>
        </w:rPr>
        <w:t>Exclusion of</w:t>
      </w:r>
      <w:r w:rsidR="00846D1B" w:rsidRPr="0010129D">
        <w:rPr>
          <w:rFonts w:ascii="Arial" w:hAnsi="Arial" w:cs="Arial"/>
        </w:rPr>
        <w:t xml:space="preserve"> </w:t>
      </w:r>
      <w:r w:rsidR="00E8565C" w:rsidRPr="0010129D">
        <w:rPr>
          <w:rFonts w:ascii="Arial" w:hAnsi="Arial" w:cs="Arial"/>
        </w:rPr>
        <w:t>physically isolated development, playing fields and open spaces in edge of settlement locations, and large open gardens or those which would threaten a settl</w:t>
      </w:r>
      <w:r w:rsidR="0010129D" w:rsidRPr="0010129D">
        <w:rPr>
          <w:rFonts w:ascii="Arial" w:hAnsi="Arial" w:cs="Arial"/>
        </w:rPr>
        <w:t>ement’s character if developed.</w:t>
      </w:r>
    </w:p>
    <w:p w:rsidR="00BF0C16" w:rsidRPr="0010129D" w:rsidRDefault="0010129D" w:rsidP="0010129D">
      <w:pPr>
        <w:tabs>
          <w:tab w:val="left" w:pos="851"/>
          <w:tab w:val="left" w:pos="993"/>
        </w:tabs>
        <w:ind w:left="851" w:hanging="284"/>
        <w:jc w:val="both"/>
        <w:rPr>
          <w:rFonts w:ascii="Arial" w:hAnsi="Arial" w:cs="Arial"/>
        </w:rPr>
      </w:pPr>
      <w:r w:rsidRPr="0010129D">
        <w:rPr>
          <w:rFonts w:ascii="Arial" w:hAnsi="Arial" w:cs="Arial"/>
        </w:rPr>
        <w:t>4) Setttlement boundaries c</w:t>
      </w:r>
      <w:r w:rsidR="00E8565C" w:rsidRPr="0010129D">
        <w:rPr>
          <w:rFonts w:ascii="Arial" w:hAnsi="Arial" w:cs="Arial"/>
        </w:rPr>
        <w:t xml:space="preserve">an be drawn in one or more parts. </w:t>
      </w:r>
    </w:p>
    <w:p w:rsidR="00BA14EB" w:rsidRPr="00F902DD" w:rsidRDefault="00BA14EB" w:rsidP="00F902DD">
      <w:pPr>
        <w:rPr>
          <w:rFonts w:ascii="Arial" w:hAnsi="Arial" w:cs="Arial"/>
          <w:lang w:eastAsia="en-GB"/>
        </w:rPr>
      </w:pPr>
    </w:p>
    <w:p w:rsidR="00F902DD" w:rsidRDefault="00E8565C" w:rsidP="00BA14EB">
      <w:pPr>
        <w:numPr>
          <w:ilvl w:val="1"/>
          <w:numId w:val="2"/>
        </w:numPr>
        <w:tabs>
          <w:tab w:val="clear" w:pos="360"/>
          <w:tab w:val="num" w:pos="540"/>
        </w:tabs>
        <w:ind w:left="540" w:hanging="540"/>
        <w:jc w:val="both"/>
        <w:rPr>
          <w:rFonts w:ascii="Arial" w:hAnsi="Arial" w:cs="Arial"/>
          <w:lang w:eastAsia="en-GB"/>
        </w:rPr>
      </w:pPr>
      <w:r>
        <w:rPr>
          <w:rFonts w:ascii="Arial" w:hAnsi="Arial" w:cs="Arial"/>
          <w:lang w:eastAsia="en-GB"/>
        </w:rPr>
        <w:t>A</w:t>
      </w:r>
      <w:r w:rsidR="00BA14EB" w:rsidRPr="001F0FE0">
        <w:rPr>
          <w:rFonts w:ascii="Arial" w:hAnsi="Arial" w:cs="Arial"/>
          <w:lang w:eastAsia="en-GB"/>
        </w:rPr>
        <w:t>s a result of the delay in the submission and adoption of the emerging</w:t>
      </w:r>
      <w:r w:rsidR="00AB333A" w:rsidRPr="001F0FE0">
        <w:rPr>
          <w:rFonts w:ascii="Arial" w:hAnsi="Arial" w:cs="Arial"/>
          <w:lang w:eastAsia="en-GB"/>
        </w:rPr>
        <w:t xml:space="preserve"> Joint Core Strategy (Part 1 </w:t>
      </w:r>
      <w:r w:rsidR="00BA14EB" w:rsidRPr="001F0FE0">
        <w:rPr>
          <w:rFonts w:ascii="Arial" w:hAnsi="Arial" w:cs="Arial"/>
          <w:lang w:eastAsia="en-GB"/>
        </w:rPr>
        <w:t>Local Plan), progress on</w:t>
      </w:r>
      <w:r w:rsidR="00AB333A" w:rsidRPr="001F0FE0">
        <w:rPr>
          <w:rFonts w:ascii="Arial" w:hAnsi="Arial" w:cs="Arial"/>
          <w:lang w:eastAsia="en-GB"/>
        </w:rPr>
        <w:t xml:space="preserve"> the</w:t>
      </w:r>
      <w:r w:rsidR="00BA14EB" w:rsidRPr="001F0FE0">
        <w:rPr>
          <w:rFonts w:ascii="Arial" w:hAnsi="Arial" w:cs="Arial"/>
          <w:lang w:eastAsia="en-GB"/>
        </w:rPr>
        <w:t xml:space="preserve"> Part 2 Local Plan (</w:t>
      </w:r>
      <w:r w:rsidR="00DE7062">
        <w:rPr>
          <w:rFonts w:ascii="Arial" w:hAnsi="Arial" w:cs="Arial"/>
          <w:lang w:eastAsia="en-GB"/>
        </w:rPr>
        <w:t xml:space="preserve">SSP LDD </w:t>
      </w:r>
      <w:r w:rsidR="00BA14EB" w:rsidRPr="001F0FE0">
        <w:rPr>
          <w:rFonts w:ascii="Arial" w:hAnsi="Arial" w:cs="Arial"/>
          <w:lang w:eastAsia="en-GB"/>
        </w:rPr>
        <w:t xml:space="preserve">Site Specific </w:t>
      </w:r>
      <w:r w:rsidR="00AB333A" w:rsidRPr="001F0FE0">
        <w:rPr>
          <w:rFonts w:ascii="Arial" w:hAnsi="Arial" w:cs="Arial"/>
          <w:lang w:eastAsia="en-GB"/>
        </w:rPr>
        <w:t>Plan Local Development Document</w:t>
      </w:r>
      <w:r w:rsidR="00BA14EB" w:rsidRPr="001F0FE0">
        <w:rPr>
          <w:rFonts w:ascii="Arial" w:hAnsi="Arial" w:cs="Arial"/>
          <w:lang w:eastAsia="en-GB"/>
        </w:rPr>
        <w:t xml:space="preserve">) has been </w:t>
      </w:r>
      <w:r w:rsidR="00DE7062" w:rsidRPr="00535433">
        <w:rPr>
          <w:rFonts w:ascii="Arial" w:hAnsi="Arial" w:cs="Arial"/>
          <w:lang w:eastAsia="en-GB"/>
        </w:rPr>
        <w:t>paused</w:t>
      </w:r>
      <w:r w:rsidR="00BA14EB" w:rsidRPr="001F0FE0">
        <w:rPr>
          <w:rFonts w:ascii="Arial" w:hAnsi="Arial" w:cs="Arial"/>
          <w:lang w:eastAsia="en-GB"/>
        </w:rPr>
        <w:t>, affecting the currency of the earlier background study work which will be relied upon as an</w:t>
      </w:r>
      <w:r w:rsidR="00AB333A" w:rsidRPr="001F0FE0">
        <w:rPr>
          <w:rFonts w:ascii="Arial" w:hAnsi="Arial" w:cs="Arial"/>
          <w:lang w:eastAsia="en-GB"/>
        </w:rPr>
        <w:t xml:space="preserve"> evidence base when submitting the non-strategic P</w:t>
      </w:r>
      <w:r w:rsidR="00BA14EB" w:rsidRPr="001F0FE0">
        <w:rPr>
          <w:rFonts w:ascii="Arial" w:hAnsi="Arial" w:cs="Arial"/>
          <w:lang w:eastAsia="en-GB"/>
        </w:rPr>
        <w:t xml:space="preserve">art 2 Local Plan for </w:t>
      </w:r>
      <w:r w:rsidR="00AB333A" w:rsidRPr="001F0FE0">
        <w:rPr>
          <w:rFonts w:ascii="Arial" w:hAnsi="Arial" w:cs="Arial"/>
          <w:lang w:eastAsia="en-GB"/>
        </w:rPr>
        <w:t>E</w:t>
      </w:r>
      <w:r w:rsidR="00BA14EB" w:rsidRPr="001F0FE0">
        <w:rPr>
          <w:rFonts w:ascii="Arial" w:hAnsi="Arial" w:cs="Arial"/>
          <w:lang w:eastAsia="en-GB"/>
        </w:rPr>
        <w:t>xamination.</w:t>
      </w:r>
      <w:r w:rsidR="001F0FE0" w:rsidRPr="001F0FE0">
        <w:rPr>
          <w:rFonts w:ascii="Arial" w:hAnsi="Arial" w:cs="Arial"/>
          <w:lang w:eastAsia="en-GB"/>
        </w:rPr>
        <w:t xml:space="preserve"> </w:t>
      </w:r>
    </w:p>
    <w:p w:rsidR="00F902DD" w:rsidRDefault="00F902DD" w:rsidP="00F902DD">
      <w:pPr>
        <w:ind w:left="540"/>
        <w:jc w:val="both"/>
        <w:rPr>
          <w:rFonts w:ascii="Arial" w:hAnsi="Arial" w:cs="Arial"/>
          <w:lang w:eastAsia="en-GB"/>
        </w:rPr>
      </w:pPr>
    </w:p>
    <w:p w:rsidR="00F902DD" w:rsidRPr="00F902DD" w:rsidRDefault="00AB333A" w:rsidP="00F902DD">
      <w:pPr>
        <w:numPr>
          <w:ilvl w:val="1"/>
          <w:numId w:val="2"/>
        </w:numPr>
        <w:tabs>
          <w:tab w:val="clear" w:pos="360"/>
          <w:tab w:val="num" w:pos="540"/>
        </w:tabs>
        <w:ind w:left="540" w:hanging="540"/>
        <w:jc w:val="both"/>
        <w:rPr>
          <w:rFonts w:ascii="Arial" w:hAnsi="Arial" w:cs="Arial"/>
          <w:lang w:eastAsia="en-GB"/>
        </w:rPr>
      </w:pPr>
      <w:r w:rsidRPr="001F0FE0">
        <w:rPr>
          <w:rFonts w:ascii="Arial" w:hAnsi="Arial" w:cs="Arial"/>
          <w:lang w:eastAsia="en-GB"/>
        </w:rPr>
        <w:t xml:space="preserve">The Joint Core Strategy (JCS) will allocate </w:t>
      </w:r>
      <w:r w:rsidR="00BF0C16" w:rsidRPr="00535433">
        <w:rPr>
          <w:rFonts w:ascii="Arial" w:hAnsi="Arial" w:cs="Arial"/>
          <w:lang w:eastAsia="en-GB"/>
        </w:rPr>
        <w:t>strategic</w:t>
      </w:r>
      <w:r w:rsidR="00BF0C16" w:rsidRPr="00BF0C16">
        <w:rPr>
          <w:rFonts w:ascii="Arial" w:hAnsi="Arial" w:cs="Arial"/>
          <w:color w:val="FF0000"/>
          <w:lang w:eastAsia="en-GB"/>
        </w:rPr>
        <w:t xml:space="preserve"> </w:t>
      </w:r>
      <w:r w:rsidRPr="001F0FE0">
        <w:rPr>
          <w:rFonts w:ascii="Arial" w:hAnsi="Arial" w:cs="Arial"/>
          <w:lang w:eastAsia="en-GB"/>
        </w:rPr>
        <w:t>sites for housing and employment development, the thresh</w:t>
      </w:r>
      <w:r w:rsidR="003B3DE6">
        <w:rPr>
          <w:rFonts w:ascii="Arial" w:hAnsi="Arial" w:cs="Arial"/>
          <w:lang w:eastAsia="en-GB"/>
        </w:rPr>
        <w:t>old being 500+dwellings and 5ha</w:t>
      </w:r>
      <w:r w:rsidRPr="001F0FE0">
        <w:rPr>
          <w:rFonts w:ascii="Arial" w:hAnsi="Arial" w:cs="Arial"/>
          <w:lang w:eastAsia="en-GB"/>
        </w:rPr>
        <w:t>+ for employment sites.</w:t>
      </w:r>
      <w:r w:rsidR="00535433">
        <w:rPr>
          <w:rFonts w:ascii="Arial" w:hAnsi="Arial" w:cs="Arial"/>
          <w:lang w:eastAsia="en-GB"/>
        </w:rPr>
        <w:t xml:space="preserve">  </w:t>
      </w:r>
      <w:r w:rsidR="00BA14EB" w:rsidRPr="00F902DD">
        <w:rPr>
          <w:rFonts w:ascii="Arial" w:hAnsi="Arial" w:cs="Arial"/>
          <w:lang w:eastAsia="en-GB"/>
        </w:rPr>
        <w:t xml:space="preserve">In addition to this, site allocations for </w:t>
      </w:r>
      <w:r w:rsidR="00DE7062" w:rsidRPr="00F902DD">
        <w:rPr>
          <w:rFonts w:ascii="Arial" w:hAnsi="Arial" w:cs="Arial"/>
          <w:lang w:eastAsia="en-GB"/>
        </w:rPr>
        <w:t xml:space="preserve">smaller sites of </w:t>
      </w:r>
      <w:r w:rsidR="00BA14EB" w:rsidRPr="00F902DD">
        <w:rPr>
          <w:rFonts w:ascii="Arial" w:hAnsi="Arial" w:cs="Arial"/>
          <w:lang w:eastAsia="en-GB"/>
        </w:rPr>
        <w:t xml:space="preserve">new housing and employment remain </w:t>
      </w:r>
      <w:r w:rsidR="001F0FE0" w:rsidRPr="00F902DD">
        <w:rPr>
          <w:rFonts w:ascii="Arial" w:hAnsi="Arial" w:cs="Arial"/>
          <w:lang w:eastAsia="en-GB"/>
        </w:rPr>
        <w:t>to be al</w:t>
      </w:r>
      <w:r w:rsidR="00F902DD">
        <w:rPr>
          <w:rFonts w:ascii="Arial" w:hAnsi="Arial" w:cs="Arial"/>
          <w:lang w:eastAsia="en-GB"/>
        </w:rPr>
        <w:t xml:space="preserve">located through the SSP LDD. </w:t>
      </w:r>
      <w:r w:rsidR="0010129D">
        <w:rPr>
          <w:rFonts w:ascii="Arial" w:hAnsi="Arial" w:cs="Arial"/>
          <w:lang w:eastAsia="en-GB"/>
        </w:rPr>
        <w:t xml:space="preserve">All </w:t>
      </w:r>
      <w:r w:rsidR="0010129D" w:rsidRPr="0010129D">
        <w:rPr>
          <w:rFonts w:ascii="Arial" w:hAnsi="Arial" w:cs="Arial"/>
          <w:lang w:eastAsia="en-GB"/>
        </w:rPr>
        <w:t>t</w:t>
      </w:r>
      <w:r w:rsidR="00F902DD" w:rsidRPr="0010129D">
        <w:rPr>
          <w:rFonts w:ascii="Arial" w:hAnsi="Arial" w:cs="Arial"/>
          <w:lang w:eastAsia="en-GB"/>
        </w:rPr>
        <w:t>hese new allocations</w:t>
      </w:r>
      <w:r w:rsidR="00BA14EB" w:rsidRPr="0010129D">
        <w:rPr>
          <w:rFonts w:ascii="Arial" w:hAnsi="Arial" w:cs="Arial"/>
          <w:lang w:eastAsia="en-GB"/>
        </w:rPr>
        <w:t xml:space="preserve"> will affect the extent of the final settlement boundaries. </w:t>
      </w:r>
      <w:r w:rsidR="00F902DD" w:rsidRPr="0010129D">
        <w:rPr>
          <w:rFonts w:ascii="Arial" w:hAnsi="Arial" w:cs="Arial"/>
          <w:lang w:eastAsia="en-GB"/>
        </w:rPr>
        <w:t xml:space="preserve"> </w:t>
      </w:r>
      <w:r w:rsidR="00BA14EB" w:rsidRPr="00F902DD">
        <w:rPr>
          <w:rFonts w:ascii="Arial" w:hAnsi="Arial" w:cs="Arial"/>
          <w:lang w:eastAsia="en-GB"/>
        </w:rPr>
        <w:t>As a result, a review of the last</w:t>
      </w:r>
      <w:r w:rsidR="00BA14EB" w:rsidRPr="00F902DD">
        <w:rPr>
          <w:rFonts w:ascii="Arial" w:hAnsi="Arial" w:cs="Arial"/>
        </w:rPr>
        <w:t xml:space="preserve"> </w:t>
      </w:r>
      <w:r w:rsidR="001F0FE0" w:rsidRPr="00F902DD">
        <w:rPr>
          <w:rFonts w:ascii="Arial" w:hAnsi="Arial" w:cs="Arial"/>
        </w:rPr>
        <w:t>SS</w:t>
      </w:r>
      <w:r w:rsidR="00BA14EB" w:rsidRPr="00F902DD">
        <w:rPr>
          <w:rFonts w:ascii="Arial" w:hAnsi="Arial" w:cs="Arial"/>
        </w:rPr>
        <w:t>P</w:t>
      </w:r>
      <w:r w:rsidR="001F0FE0" w:rsidRPr="00F902DD">
        <w:rPr>
          <w:rFonts w:ascii="Arial" w:hAnsi="Arial" w:cs="Arial"/>
        </w:rPr>
        <w:t xml:space="preserve"> </w:t>
      </w:r>
      <w:r w:rsidR="00BA14EB" w:rsidRPr="00F902DD">
        <w:rPr>
          <w:rFonts w:ascii="Arial" w:hAnsi="Arial" w:cs="Arial"/>
        </w:rPr>
        <w:t>LDD</w:t>
      </w:r>
      <w:r w:rsidR="00BA14EB" w:rsidRPr="00F902DD">
        <w:rPr>
          <w:rFonts w:ascii="Arial" w:hAnsi="Arial" w:cs="Arial"/>
          <w:b/>
          <w:sz w:val="32"/>
          <w:szCs w:val="32"/>
        </w:rPr>
        <w:t xml:space="preserve"> </w:t>
      </w:r>
      <w:r w:rsidR="00BA14EB" w:rsidRPr="00F902DD">
        <w:rPr>
          <w:rFonts w:ascii="Arial" w:hAnsi="Arial" w:cs="Arial"/>
        </w:rPr>
        <w:t>Background Paper: Settlement Boundaries (February 2012) is now required, in order to progress the</w:t>
      </w:r>
      <w:r w:rsidR="00BA14EB" w:rsidRPr="00F902DD">
        <w:rPr>
          <w:rFonts w:ascii="Arial" w:hAnsi="Arial" w:cs="Arial"/>
          <w:lang w:eastAsia="en-GB"/>
        </w:rPr>
        <w:t xml:space="preserve"> </w:t>
      </w:r>
      <w:r w:rsidR="001F0FE0" w:rsidRPr="00F902DD">
        <w:rPr>
          <w:rFonts w:ascii="Arial" w:hAnsi="Arial" w:cs="Arial"/>
          <w:lang w:eastAsia="en-GB"/>
        </w:rPr>
        <w:t>SSP LDD</w:t>
      </w:r>
      <w:r w:rsidR="00BA14EB" w:rsidRPr="00F902DD">
        <w:rPr>
          <w:rFonts w:ascii="Arial" w:hAnsi="Arial" w:cs="Arial"/>
          <w:lang w:eastAsia="en-GB"/>
        </w:rPr>
        <w:t xml:space="preserve"> to submission stage and provide an up-to-date evidence base. </w:t>
      </w:r>
    </w:p>
    <w:p w:rsidR="00F902DD" w:rsidRDefault="00F902DD" w:rsidP="00F902DD">
      <w:pPr>
        <w:pStyle w:val="ListParagraph"/>
        <w:rPr>
          <w:rFonts w:ascii="Arial" w:hAnsi="Arial" w:cs="Arial"/>
          <w:lang w:eastAsia="en-GB"/>
        </w:rPr>
      </w:pPr>
    </w:p>
    <w:p w:rsidR="00BA14EB" w:rsidRDefault="00BA14EB" w:rsidP="00BA14EB">
      <w:pPr>
        <w:numPr>
          <w:ilvl w:val="1"/>
          <w:numId w:val="2"/>
        </w:numPr>
        <w:tabs>
          <w:tab w:val="clear" w:pos="360"/>
          <w:tab w:val="num" w:pos="540"/>
        </w:tabs>
        <w:ind w:left="540" w:hanging="540"/>
        <w:jc w:val="both"/>
        <w:rPr>
          <w:rFonts w:ascii="Arial" w:hAnsi="Arial" w:cs="Arial"/>
          <w:lang w:eastAsia="en-GB"/>
        </w:rPr>
      </w:pPr>
      <w:r w:rsidRPr="00F902DD">
        <w:rPr>
          <w:rFonts w:ascii="Arial" w:hAnsi="Arial" w:cs="Arial"/>
          <w:lang w:eastAsia="en-GB"/>
        </w:rPr>
        <w:t xml:space="preserve">Changes to settlement boundaries contained within the </w:t>
      </w:r>
      <w:r w:rsidR="00F902DD" w:rsidRPr="0010129D">
        <w:rPr>
          <w:rFonts w:ascii="Arial" w:hAnsi="Arial" w:cs="Arial"/>
          <w:lang w:eastAsia="en-GB"/>
        </w:rPr>
        <w:t xml:space="preserve">2015 </w:t>
      </w:r>
      <w:r w:rsidRPr="0010129D">
        <w:rPr>
          <w:rFonts w:ascii="Arial" w:hAnsi="Arial" w:cs="Arial"/>
          <w:lang w:eastAsia="en-GB"/>
        </w:rPr>
        <w:t xml:space="preserve">update </w:t>
      </w:r>
      <w:r w:rsidRPr="00F902DD">
        <w:rPr>
          <w:rFonts w:ascii="Arial" w:hAnsi="Arial" w:cs="Arial"/>
          <w:lang w:eastAsia="en-GB"/>
        </w:rPr>
        <w:t xml:space="preserve">have been made using the </w:t>
      </w:r>
      <w:r w:rsidRPr="00F902DD">
        <w:rPr>
          <w:rFonts w:ascii="Arial" w:hAnsi="Arial" w:cs="Arial"/>
        </w:rPr>
        <w:t>settlement boundary defining principles</w:t>
      </w:r>
      <w:r w:rsidR="000C0546" w:rsidRPr="00F902DD">
        <w:rPr>
          <w:rFonts w:ascii="Arial" w:hAnsi="Arial" w:cs="Arial"/>
        </w:rPr>
        <w:t xml:space="preserve">, contained within the </w:t>
      </w:r>
      <w:r w:rsidR="00535433" w:rsidRPr="00F902DD">
        <w:rPr>
          <w:rFonts w:ascii="Arial" w:hAnsi="Arial" w:cs="Arial"/>
        </w:rPr>
        <w:t xml:space="preserve">2012 Background Paper.  </w:t>
      </w:r>
      <w:r w:rsidRPr="00F902DD">
        <w:rPr>
          <w:rFonts w:ascii="Arial" w:hAnsi="Arial" w:cs="Arial"/>
        </w:rPr>
        <w:t xml:space="preserve">In summary, Brampton Ash, Dingley, Orton and Pipewell </w:t>
      </w:r>
      <w:r w:rsidR="000C0546" w:rsidRPr="00F902DD">
        <w:rPr>
          <w:rFonts w:ascii="Arial" w:hAnsi="Arial" w:cs="Arial"/>
        </w:rPr>
        <w:t xml:space="preserve">are defined as scattered villages </w:t>
      </w:r>
      <w:r w:rsidRPr="00F902DD">
        <w:rPr>
          <w:rFonts w:ascii="Arial" w:hAnsi="Arial" w:cs="Arial"/>
        </w:rPr>
        <w:t>within open countryside and without a settlement boundary.</w:t>
      </w:r>
      <w:r w:rsidRPr="00F902DD">
        <w:rPr>
          <w:rFonts w:ascii="Arial" w:hAnsi="Arial" w:cs="Arial"/>
          <w:lang w:eastAsia="en-GB"/>
        </w:rPr>
        <w:t xml:space="preserve"> Changes to the other settlement boundaries have been made to address</w:t>
      </w:r>
      <w:r w:rsidR="00F902DD">
        <w:rPr>
          <w:rFonts w:ascii="Arial" w:hAnsi="Arial" w:cs="Arial"/>
          <w:lang w:eastAsia="en-GB"/>
        </w:rPr>
        <w:t>, for example,</w:t>
      </w:r>
      <w:r w:rsidRPr="00F902DD">
        <w:rPr>
          <w:rFonts w:ascii="Arial" w:hAnsi="Arial" w:cs="Arial"/>
          <w:lang w:eastAsia="en-GB"/>
        </w:rPr>
        <w:t xml:space="preserve"> extant </w:t>
      </w:r>
      <w:r w:rsidR="00F902DD" w:rsidRPr="00F902DD">
        <w:rPr>
          <w:rFonts w:ascii="Arial" w:hAnsi="Arial" w:cs="Arial"/>
          <w:lang w:eastAsia="en-GB"/>
        </w:rPr>
        <w:t>planning permissions for development;</w:t>
      </w:r>
      <w:r w:rsidRPr="00F902DD">
        <w:rPr>
          <w:rFonts w:ascii="Arial" w:hAnsi="Arial" w:cs="Arial"/>
          <w:lang w:eastAsia="en-GB"/>
        </w:rPr>
        <w:t xml:space="preserve"> and other identified inconsistencies. These were identified through a desk top study, and subsequent site visits </w:t>
      </w:r>
      <w:r w:rsidR="000C0546" w:rsidRPr="00F902DD">
        <w:rPr>
          <w:rFonts w:ascii="Arial" w:hAnsi="Arial" w:cs="Arial"/>
          <w:lang w:eastAsia="en-GB"/>
        </w:rPr>
        <w:t>(</w:t>
      </w:r>
      <w:r w:rsidRPr="00F902DD">
        <w:rPr>
          <w:rFonts w:ascii="Arial" w:hAnsi="Arial" w:cs="Arial"/>
          <w:lang w:eastAsia="en-GB"/>
        </w:rPr>
        <w:t>where necessary</w:t>
      </w:r>
      <w:r w:rsidR="000C0546" w:rsidRPr="00F902DD">
        <w:rPr>
          <w:rFonts w:ascii="Arial" w:hAnsi="Arial" w:cs="Arial"/>
          <w:lang w:eastAsia="en-GB"/>
        </w:rPr>
        <w:t>)</w:t>
      </w:r>
      <w:r w:rsidRPr="00F902DD">
        <w:rPr>
          <w:rFonts w:ascii="Arial" w:hAnsi="Arial" w:cs="Arial"/>
          <w:lang w:eastAsia="en-GB"/>
        </w:rPr>
        <w:t xml:space="preserve">. A copy of the draft </w:t>
      </w:r>
      <w:r w:rsidRPr="00F902DD">
        <w:rPr>
          <w:rFonts w:ascii="Arial" w:hAnsi="Arial" w:cs="Arial"/>
        </w:rPr>
        <w:t>SSP</w:t>
      </w:r>
      <w:r w:rsidR="000C0546" w:rsidRPr="00F902DD">
        <w:rPr>
          <w:rFonts w:ascii="Arial" w:hAnsi="Arial" w:cs="Arial"/>
        </w:rPr>
        <w:t xml:space="preserve"> </w:t>
      </w:r>
      <w:r w:rsidRPr="00F902DD">
        <w:rPr>
          <w:rFonts w:ascii="Arial" w:hAnsi="Arial" w:cs="Arial"/>
        </w:rPr>
        <w:t>LDD</w:t>
      </w:r>
      <w:r w:rsidRPr="00F902DD">
        <w:rPr>
          <w:rFonts w:ascii="Arial" w:hAnsi="Arial" w:cs="Arial"/>
          <w:b/>
          <w:sz w:val="32"/>
          <w:szCs w:val="32"/>
        </w:rPr>
        <w:t xml:space="preserve"> </w:t>
      </w:r>
      <w:r w:rsidRPr="00F902DD">
        <w:rPr>
          <w:rFonts w:ascii="Arial" w:hAnsi="Arial" w:cs="Arial"/>
        </w:rPr>
        <w:t xml:space="preserve">Background Paper: Settlement Boundaries Update (September 2015) is attached as </w:t>
      </w:r>
      <w:r w:rsidRPr="003B3DE6">
        <w:rPr>
          <w:rFonts w:ascii="Arial" w:hAnsi="Arial" w:cs="Arial"/>
          <w:b/>
        </w:rPr>
        <w:t xml:space="preserve">Appendix </w:t>
      </w:r>
      <w:r w:rsidR="00BF0C16" w:rsidRPr="003B3DE6">
        <w:rPr>
          <w:rFonts w:ascii="Arial" w:hAnsi="Arial" w:cs="Arial"/>
          <w:b/>
        </w:rPr>
        <w:t>1</w:t>
      </w:r>
      <w:r w:rsidRPr="00F902DD">
        <w:rPr>
          <w:rFonts w:ascii="Arial" w:hAnsi="Arial" w:cs="Arial"/>
        </w:rPr>
        <w:t>.</w:t>
      </w:r>
      <w:r w:rsidR="00F902DD" w:rsidRPr="00F902DD">
        <w:rPr>
          <w:rFonts w:ascii="Arial" w:hAnsi="Arial" w:cs="Arial"/>
        </w:rPr>
        <w:t xml:space="preserve"> </w:t>
      </w:r>
    </w:p>
    <w:p w:rsidR="00535433" w:rsidRDefault="00535433" w:rsidP="00BA14EB">
      <w:pPr>
        <w:pStyle w:val="ListParagraph"/>
        <w:rPr>
          <w:rFonts w:ascii="Arial" w:hAnsi="Arial" w:cs="Arial"/>
          <w:lang w:eastAsia="en-GB"/>
        </w:rPr>
      </w:pPr>
    </w:p>
    <w:p w:rsidR="00BA14EB" w:rsidRPr="00355AD1" w:rsidRDefault="00355AD1" w:rsidP="00355AD1">
      <w:pPr>
        <w:ind w:left="540" w:hanging="540"/>
        <w:jc w:val="both"/>
        <w:rPr>
          <w:rFonts w:ascii="Arial" w:hAnsi="Arial" w:cs="Arial"/>
          <w:b/>
          <w:u w:val="single"/>
          <w:lang w:eastAsia="en-GB"/>
        </w:rPr>
      </w:pPr>
      <w:r>
        <w:rPr>
          <w:rFonts w:ascii="Arial" w:hAnsi="Arial" w:cs="Arial"/>
          <w:b/>
          <w:lang w:eastAsia="en-GB"/>
        </w:rPr>
        <w:t>3.</w:t>
      </w:r>
      <w:r>
        <w:rPr>
          <w:rFonts w:ascii="Arial" w:hAnsi="Arial" w:cs="Arial"/>
          <w:b/>
          <w:lang w:eastAsia="en-GB"/>
        </w:rPr>
        <w:tab/>
      </w:r>
      <w:r w:rsidR="00984F3E" w:rsidRPr="00355AD1">
        <w:rPr>
          <w:rFonts w:ascii="Arial" w:hAnsi="Arial" w:cs="Arial"/>
          <w:b/>
          <w:u w:val="single"/>
          <w:lang w:eastAsia="en-GB"/>
        </w:rPr>
        <w:t xml:space="preserve">PLANNING </w:t>
      </w:r>
      <w:r w:rsidR="00BA14EB" w:rsidRPr="00355AD1">
        <w:rPr>
          <w:rFonts w:ascii="Arial" w:hAnsi="Arial" w:cs="Arial"/>
          <w:b/>
          <w:u w:val="single"/>
          <w:lang w:eastAsia="en-GB"/>
        </w:rPr>
        <w:t>POLICY CONTEXT</w:t>
      </w:r>
    </w:p>
    <w:p w:rsidR="00355AD1" w:rsidRPr="004530E1" w:rsidRDefault="00355AD1" w:rsidP="00355AD1">
      <w:pPr>
        <w:pStyle w:val="ListParagraph"/>
        <w:ind w:left="567"/>
        <w:jc w:val="both"/>
        <w:rPr>
          <w:rFonts w:ascii="Arial" w:hAnsi="Arial" w:cs="Arial"/>
          <w:b/>
          <w:u w:val="single"/>
          <w:lang w:eastAsia="en-GB"/>
        </w:rPr>
      </w:pPr>
    </w:p>
    <w:p w:rsidR="003B3DE6" w:rsidRDefault="00BA14EB" w:rsidP="003B3DE6">
      <w:pPr>
        <w:numPr>
          <w:ilvl w:val="1"/>
          <w:numId w:val="3"/>
        </w:numPr>
        <w:ind w:left="540" w:hanging="540"/>
        <w:jc w:val="both"/>
        <w:rPr>
          <w:rFonts w:ascii="Arial" w:hAnsi="Arial" w:cs="Arial"/>
          <w:lang w:eastAsia="en-GB"/>
        </w:rPr>
      </w:pPr>
      <w:r>
        <w:rPr>
          <w:rFonts w:ascii="Arial" w:hAnsi="Arial" w:cs="Arial"/>
          <w:lang w:eastAsia="en-GB"/>
        </w:rPr>
        <w:t xml:space="preserve">The decision to apply settlement boundaries as a control mechanism for development within the countryside is reinforced at </w:t>
      </w:r>
      <w:r w:rsidR="00984F3E">
        <w:rPr>
          <w:rFonts w:ascii="Arial" w:hAnsi="Arial" w:cs="Arial"/>
          <w:lang w:eastAsia="en-GB"/>
        </w:rPr>
        <w:t xml:space="preserve">both a local and national level </w:t>
      </w:r>
      <w:r w:rsidR="00984F3E" w:rsidRPr="00535433">
        <w:rPr>
          <w:rFonts w:ascii="Arial" w:hAnsi="Arial" w:cs="Arial"/>
          <w:lang w:eastAsia="en-GB"/>
        </w:rPr>
        <w:t>as described below.</w:t>
      </w:r>
    </w:p>
    <w:p w:rsidR="003B3DE6" w:rsidRDefault="003B3DE6" w:rsidP="003B3DE6">
      <w:pPr>
        <w:ind w:left="540"/>
        <w:jc w:val="both"/>
        <w:rPr>
          <w:rFonts w:ascii="Arial" w:hAnsi="Arial" w:cs="Arial"/>
          <w:lang w:eastAsia="en-GB"/>
        </w:rPr>
      </w:pPr>
    </w:p>
    <w:p w:rsidR="00984F3E" w:rsidRPr="003B3DE6" w:rsidRDefault="00984F3E" w:rsidP="003B3DE6">
      <w:pPr>
        <w:numPr>
          <w:ilvl w:val="1"/>
          <w:numId w:val="3"/>
        </w:numPr>
        <w:ind w:left="540" w:hanging="540"/>
        <w:jc w:val="both"/>
        <w:rPr>
          <w:rFonts w:ascii="Arial" w:hAnsi="Arial" w:cs="Arial"/>
          <w:lang w:eastAsia="en-GB"/>
        </w:rPr>
      </w:pPr>
      <w:r w:rsidRPr="003B3DE6">
        <w:rPr>
          <w:rFonts w:ascii="Arial" w:hAnsi="Arial" w:cs="Arial"/>
          <w:u w:val="single"/>
          <w:lang w:eastAsia="en-GB"/>
        </w:rPr>
        <w:lastRenderedPageBreak/>
        <w:t>Local Planning Policy</w:t>
      </w:r>
    </w:p>
    <w:p w:rsidR="00984F3E" w:rsidRDefault="00984F3E" w:rsidP="00BA14EB">
      <w:pPr>
        <w:ind w:left="540"/>
        <w:jc w:val="both"/>
        <w:rPr>
          <w:rFonts w:ascii="Arial" w:hAnsi="Arial" w:cs="Arial"/>
          <w:lang w:eastAsia="en-GB"/>
        </w:rPr>
      </w:pPr>
    </w:p>
    <w:p w:rsidR="00BA14EB" w:rsidRPr="0018075B" w:rsidRDefault="00BA14EB" w:rsidP="00BA14EB">
      <w:pPr>
        <w:numPr>
          <w:ilvl w:val="1"/>
          <w:numId w:val="3"/>
        </w:numPr>
        <w:ind w:left="540" w:hanging="540"/>
        <w:jc w:val="both"/>
        <w:rPr>
          <w:rFonts w:ascii="Arial" w:hAnsi="Arial" w:cs="Arial"/>
          <w:lang w:eastAsia="en-GB"/>
        </w:rPr>
      </w:pPr>
      <w:r>
        <w:rPr>
          <w:rFonts w:ascii="Arial" w:hAnsi="Arial" w:cs="Arial"/>
          <w:lang w:eastAsia="en-GB"/>
        </w:rPr>
        <w:t xml:space="preserve">The North Northamptonshire Core Spatial Strategy (NNCSS) was adopted in June 2008 and includes </w:t>
      </w:r>
      <w:r w:rsidRPr="0018075B">
        <w:rPr>
          <w:rFonts w:ascii="Arial" w:hAnsi="Arial" w:cs="Arial"/>
          <w:lang w:eastAsia="en-GB"/>
        </w:rPr>
        <w:t>Policy 1: Strengthening the Network of Settlements</w:t>
      </w:r>
      <w:r>
        <w:rPr>
          <w:rFonts w:ascii="Arial" w:hAnsi="Arial" w:cs="Arial"/>
          <w:lang w:eastAsia="en-GB"/>
        </w:rPr>
        <w:t>, which</w:t>
      </w:r>
      <w:r w:rsidRPr="0018075B">
        <w:rPr>
          <w:rFonts w:ascii="Arial" w:hAnsi="Arial" w:cs="Arial"/>
          <w:lang w:eastAsia="en-GB"/>
        </w:rPr>
        <w:t xml:space="preserve"> </w:t>
      </w:r>
      <w:r>
        <w:rPr>
          <w:rFonts w:ascii="Arial" w:hAnsi="Arial" w:cs="Arial"/>
          <w:lang w:eastAsia="en-GB"/>
        </w:rPr>
        <w:t>utilises</w:t>
      </w:r>
      <w:r w:rsidRPr="0018075B">
        <w:rPr>
          <w:rFonts w:ascii="Arial" w:hAnsi="Arial" w:cs="Arial"/>
          <w:lang w:eastAsia="en-GB"/>
        </w:rPr>
        <w:t xml:space="preserve"> a settlement hierarchy approach </w:t>
      </w:r>
      <w:r>
        <w:rPr>
          <w:rFonts w:ascii="Arial" w:hAnsi="Arial" w:cs="Arial"/>
          <w:lang w:eastAsia="en-GB"/>
        </w:rPr>
        <w:t>for</w:t>
      </w:r>
      <w:r w:rsidRPr="0018075B">
        <w:rPr>
          <w:rFonts w:ascii="Arial" w:hAnsi="Arial" w:cs="Arial"/>
          <w:lang w:eastAsia="en-GB"/>
        </w:rPr>
        <w:t xml:space="preserve"> the focus of development, referring to the use of village boundaries where development takes place in rural areas. Supporting text provided in </w:t>
      </w:r>
      <w:r>
        <w:rPr>
          <w:rFonts w:ascii="Arial" w:hAnsi="Arial" w:cs="Arial"/>
          <w:lang w:eastAsia="en-GB"/>
        </w:rPr>
        <w:t>p</w:t>
      </w:r>
      <w:r w:rsidRPr="0018075B">
        <w:rPr>
          <w:rFonts w:ascii="Arial" w:hAnsi="Arial" w:cs="Arial"/>
          <w:lang w:eastAsia="en-GB"/>
        </w:rPr>
        <w:t>ara</w:t>
      </w:r>
      <w:r>
        <w:rPr>
          <w:rFonts w:ascii="Arial" w:hAnsi="Arial" w:cs="Arial"/>
          <w:lang w:eastAsia="en-GB"/>
        </w:rPr>
        <w:t>graph</w:t>
      </w:r>
      <w:r w:rsidRPr="0018075B">
        <w:rPr>
          <w:rFonts w:ascii="Arial" w:hAnsi="Arial" w:cs="Arial"/>
          <w:lang w:eastAsia="en-GB"/>
        </w:rPr>
        <w:t xml:space="preserve"> 3.13 </w:t>
      </w:r>
      <w:r>
        <w:rPr>
          <w:rFonts w:ascii="Arial" w:hAnsi="Arial" w:cs="Arial"/>
          <w:lang w:eastAsia="en-GB"/>
        </w:rPr>
        <w:t>(NNCSS)</w:t>
      </w:r>
      <w:r w:rsidRPr="0018075B">
        <w:rPr>
          <w:rFonts w:ascii="Arial" w:hAnsi="Arial" w:cs="Arial"/>
          <w:lang w:eastAsia="en-GB"/>
        </w:rPr>
        <w:t xml:space="preserve"> states </w:t>
      </w:r>
      <w:r w:rsidRPr="0018075B">
        <w:rPr>
          <w:rFonts w:ascii="Arial" w:hAnsi="Arial" w:cs="Arial"/>
          <w:i/>
          <w:lang w:eastAsia="en-GB"/>
        </w:rPr>
        <w:t xml:space="preserve">‘…outside of these developments </w:t>
      </w:r>
      <w:r w:rsidRPr="0018075B">
        <w:rPr>
          <w:rFonts w:ascii="Arial" w:hAnsi="Arial" w:cs="Arial"/>
          <w:lang w:eastAsia="en-GB"/>
        </w:rPr>
        <w:t xml:space="preserve">[sustainable urban extensions] </w:t>
      </w:r>
      <w:r w:rsidRPr="0018075B">
        <w:rPr>
          <w:rFonts w:ascii="Arial" w:hAnsi="Arial" w:cs="Arial"/>
          <w:i/>
          <w:lang w:eastAsia="en-GB"/>
        </w:rPr>
        <w:t>and settlement boundaries determined through Master Plans and Development Plan Documents, the countryside will be subject to protection as set out in Policy 9 and on the basis of national policies in Planning Policy Statement 7.’</w:t>
      </w:r>
    </w:p>
    <w:p w:rsidR="00BA14EB" w:rsidRDefault="00BA14EB" w:rsidP="00BA14EB">
      <w:pPr>
        <w:pStyle w:val="ListParagraph"/>
        <w:rPr>
          <w:rFonts w:ascii="Arial" w:hAnsi="Arial" w:cs="Arial"/>
          <w:lang w:eastAsia="en-GB"/>
        </w:rPr>
      </w:pPr>
    </w:p>
    <w:p w:rsidR="00BA14EB" w:rsidRDefault="00BA14EB" w:rsidP="00BA14EB">
      <w:pPr>
        <w:numPr>
          <w:ilvl w:val="1"/>
          <w:numId w:val="3"/>
        </w:numPr>
        <w:ind w:left="540" w:hanging="540"/>
        <w:jc w:val="both"/>
        <w:rPr>
          <w:rFonts w:ascii="Arial" w:hAnsi="Arial" w:cs="Arial"/>
          <w:lang w:eastAsia="en-GB"/>
        </w:rPr>
      </w:pPr>
      <w:r>
        <w:rPr>
          <w:rFonts w:ascii="Arial" w:hAnsi="Arial" w:cs="Arial"/>
          <w:lang w:eastAsia="en-GB"/>
        </w:rPr>
        <w:t xml:space="preserve">Policy 9: Distribution and Location of Development (NNCSS) refers back to </w:t>
      </w:r>
      <w:r w:rsidR="00112E24" w:rsidRPr="00C23C4F">
        <w:rPr>
          <w:rFonts w:ascii="Arial" w:hAnsi="Arial" w:cs="Arial"/>
          <w:lang w:eastAsia="en-GB"/>
        </w:rPr>
        <w:t>P</w:t>
      </w:r>
      <w:r>
        <w:rPr>
          <w:rFonts w:ascii="Arial" w:hAnsi="Arial" w:cs="Arial"/>
          <w:lang w:eastAsia="en-GB"/>
        </w:rPr>
        <w:t>olicy 1 (NNCSS) distinguishing between settlements where development should strengthen their role, and open countryside where development should be strictly controlled.</w:t>
      </w:r>
    </w:p>
    <w:p w:rsidR="00BA14EB" w:rsidRDefault="00BA14EB" w:rsidP="00BA14EB">
      <w:pPr>
        <w:pStyle w:val="ListParagraph"/>
        <w:rPr>
          <w:rFonts w:ascii="Arial" w:hAnsi="Arial" w:cs="Arial"/>
          <w:lang w:eastAsia="en-GB"/>
        </w:rPr>
      </w:pPr>
    </w:p>
    <w:p w:rsidR="00BA14EB" w:rsidRDefault="00BA14EB" w:rsidP="00BA14EB">
      <w:pPr>
        <w:numPr>
          <w:ilvl w:val="1"/>
          <w:numId w:val="3"/>
        </w:numPr>
        <w:ind w:left="540" w:hanging="540"/>
        <w:jc w:val="both"/>
        <w:rPr>
          <w:rFonts w:ascii="Arial" w:hAnsi="Arial" w:cs="Arial"/>
          <w:lang w:eastAsia="en-GB"/>
        </w:rPr>
      </w:pPr>
      <w:r>
        <w:rPr>
          <w:rFonts w:ascii="Arial" w:hAnsi="Arial" w:cs="Arial"/>
          <w:lang w:eastAsia="en-GB"/>
        </w:rPr>
        <w:t xml:space="preserve">The emerging North Northamptonshire Joint Core Strategy 2011-31 maintains a similar policy stance with respect of settlement boundaries. In particular, Policy 11: Network of Urban and Rural Areas takes forward the aims of Policy 1 (NNCSS). </w:t>
      </w:r>
      <w:r w:rsidR="00984F3E">
        <w:rPr>
          <w:rFonts w:ascii="Arial" w:hAnsi="Arial" w:cs="Arial"/>
          <w:lang w:eastAsia="en-GB"/>
        </w:rPr>
        <w:t xml:space="preserve">Criterion </w:t>
      </w:r>
      <w:r>
        <w:rPr>
          <w:rFonts w:ascii="Arial" w:hAnsi="Arial" w:cs="Arial"/>
          <w:lang w:eastAsia="en-GB"/>
        </w:rPr>
        <w:t xml:space="preserve">2(b) of Policy 11 which relates to development in rural areas, states </w:t>
      </w:r>
      <w:r w:rsidRPr="00C1620A">
        <w:rPr>
          <w:rFonts w:ascii="Arial" w:hAnsi="Arial" w:cs="Arial"/>
          <w:i/>
          <w:lang w:eastAsia="en-GB"/>
        </w:rPr>
        <w:t>‘small scale infill development will be permitted on suitable sites within villages where this would not materially harm the character of the settlement….’</w:t>
      </w:r>
      <w:r>
        <w:rPr>
          <w:rFonts w:ascii="Arial" w:hAnsi="Arial" w:cs="Arial"/>
          <w:lang w:eastAsia="en-GB"/>
        </w:rPr>
        <w:t xml:space="preserve"> </w:t>
      </w:r>
    </w:p>
    <w:p w:rsidR="00BA14EB" w:rsidRDefault="00BA14EB" w:rsidP="00BA14EB">
      <w:pPr>
        <w:pStyle w:val="ListParagraph"/>
        <w:rPr>
          <w:rFonts w:ascii="Arial" w:hAnsi="Arial" w:cs="Arial"/>
          <w:lang w:eastAsia="en-GB"/>
        </w:rPr>
      </w:pPr>
    </w:p>
    <w:p w:rsidR="00BA14EB" w:rsidRDefault="00BA14EB" w:rsidP="00BA14EB">
      <w:pPr>
        <w:numPr>
          <w:ilvl w:val="1"/>
          <w:numId w:val="3"/>
        </w:numPr>
        <w:ind w:left="540" w:hanging="540"/>
        <w:jc w:val="both"/>
        <w:rPr>
          <w:rFonts w:ascii="Arial" w:hAnsi="Arial" w:cs="Arial"/>
          <w:lang w:eastAsia="en-GB"/>
        </w:rPr>
      </w:pPr>
      <w:r>
        <w:rPr>
          <w:rFonts w:ascii="Arial" w:hAnsi="Arial" w:cs="Arial"/>
          <w:lang w:eastAsia="en-GB"/>
        </w:rPr>
        <w:t xml:space="preserve">Supporting text in paragraph 5.17 of the NNJCS states </w:t>
      </w:r>
      <w:r w:rsidRPr="00BB39D7">
        <w:rPr>
          <w:rFonts w:ascii="Arial" w:hAnsi="Arial" w:cs="Arial"/>
          <w:i/>
          <w:lang w:eastAsia="en-GB"/>
        </w:rPr>
        <w:t>‘Criterion 2b of Policy 11 refers to small scale infill development being permitted on suitable sites within villages. This refers to the development of vacant and under-developed land within the main built up areas of the village…..’</w:t>
      </w:r>
    </w:p>
    <w:p w:rsidR="00BA14EB" w:rsidRPr="00BB39D7" w:rsidRDefault="00BA14EB" w:rsidP="00BA14EB">
      <w:pPr>
        <w:jc w:val="both"/>
        <w:rPr>
          <w:rFonts w:ascii="Arial" w:hAnsi="Arial" w:cs="Arial"/>
          <w:lang w:eastAsia="en-GB"/>
        </w:rPr>
      </w:pPr>
    </w:p>
    <w:p w:rsidR="00BA14EB" w:rsidRPr="00C1620A" w:rsidRDefault="00BA14EB" w:rsidP="00BA14EB">
      <w:pPr>
        <w:numPr>
          <w:ilvl w:val="1"/>
          <w:numId w:val="3"/>
        </w:numPr>
        <w:ind w:left="540" w:hanging="540"/>
        <w:jc w:val="both"/>
        <w:rPr>
          <w:rFonts w:ascii="Arial" w:hAnsi="Arial" w:cs="Arial"/>
          <w:lang w:eastAsia="en-GB"/>
        </w:rPr>
      </w:pPr>
      <w:r>
        <w:rPr>
          <w:rFonts w:ascii="Arial" w:hAnsi="Arial" w:cs="Arial"/>
          <w:lang w:eastAsia="en-GB"/>
        </w:rPr>
        <w:t xml:space="preserve">Supporting text in Paragraph 5.18 of the NNJCS states </w:t>
      </w:r>
      <w:r w:rsidRPr="00C1620A">
        <w:rPr>
          <w:rFonts w:ascii="Arial" w:hAnsi="Arial" w:cs="Arial"/>
          <w:i/>
          <w:lang w:eastAsia="en-GB"/>
        </w:rPr>
        <w:t>‘In order to clarify the application of the criteria 2b and 2c of policy 11, Part 2 Local Plans and/or Neighbourhood Plans may define village boundaries or more detailed village boundary criteria, taking account of the character of the village. Village boundaries can provide a tool to plan positively for growth and to prevent ad-hoc encroachment into open countryside, particularly for villages located close to larger settlements where coalescence is a concern.’</w:t>
      </w:r>
    </w:p>
    <w:p w:rsidR="00BA14EB" w:rsidRDefault="00BA14EB" w:rsidP="00BA14EB">
      <w:pPr>
        <w:pStyle w:val="ListParagraph"/>
        <w:rPr>
          <w:rFonts w:ascii="Arial" w:hAnsi="Arial" w:cs="Arial"/>
          <w:lang w:eastAsia="en-GB"/>
        </w:rPr>
      </w:pPr>
    </w:p>
    <w:p w:rsidR="00BA14EB" w:rsidRDefault="00BA14EB" w:rsidP="00BA14EB">
      <w:pPr>
        <w:numPr>
          <w:ilvl w:val="1"/>
          <w:numId w:val="3"/>
        </w:numPr>
        <w:ind w:left="540" w:hanging="540"/>
        <w:jc w:val="both"/>
        <w:rPr>
          <w:rFonts w:ascii="Arial" w:hAnsi="Arial" w:cs="Arial"/>
          <w:lang w:eastAsia="en-GB"/>
        </w:rPr>
      </w:pPr>
      <w:r>
        <w:rPr>
          <w:rFonts w:ascii="Arial" w:hAnsi="Arial" w:cs="Arial"/>
          <w:lang w:eastAsia="en-GB"/>
        </w:rPr>
        <w:t xml:space="preserve">Policy 13 – Rural Exceptions (NNJCS) also states </w:t>
      </w:r>
      <w:r w:rsidRPr="003C691F">
        <w:rPr>
          <w:rFonts w:ascii="Arial" w:hAnsi="Arial" w:cs="Arial"/>
          <w:i/>
          <w:lang w:eastAsia="en-GB"/>
        </w:rPr>
        <w:t>‘New development may be permitted adjoining established settlements, beyond their existing built up area or defined boundary…In open countryside, away from established settlements, permission will not normally be granted for new built residential development….’</w:t>
      </w:r>
    </w:p>
    <w:p w:rsidR="00BA14EB" w:rsidRDefault="00BA14EB" w:rsidP="00BA14EB">
      <w:pPr>
        <w:pStyle w:val="ListParagraph"/>
        <w:rPr>
          <w:rFonts w:ascii="Arial" w:hAnsi="Arial" w:cs="Arial"/>
          <w:lang w:eastAsia="en-GB"/>
        </w:rPr>
      </w:pPr>
    </w:p>
    <w:p w:rsidR="003B3DE6" w:rsidRDefault="00BA14EB" w:rsidP="003B3DE6">
      <w:pPr>
        <w:numPr>
          <w:ilvl w:val="1"/>
          <w:numId w:val="3"/>
        </w:numPr>
        <w:ind w:left="540" w:hanging="540"/>
        <w:jc w:val="both"/>
        <w:rPr>
          <w:rFonts w:ascii="Arial" w:hAnsi="Arial" w:cs="Arial"/>
          <w:lang w:eastAsia="en-GB"/>
        </w:rPr>
      </w:pPr>
      <w:r>
        <w:rPr>
          <w:rFonts w:ascii="Arial" w:hAnsi="Arial" w:cs="Arial"/>
          <w:lang w:eastAsia="en-GB"/>
        </w:rPr>
        <w:t xml:space="preserve">The prevailing theme is a clear distinction between defined settlement and open countryside, with respect of the location of new development. The North Northamptonshire Joint Core Strategy 2011-31 </w:t>
      </w:r>
      <w:r w:rsidR="00535433">
        <w:rPr>
          <w:rFonts w:ascii="Arial" w:hAnsi="Arial" w:cs="Arial"/>
          <w:lang w:eastAsia="en-GB"/>
        </w:rPr>
        <w:t>has now been</w:t>
      </w:r>
      <w:r>
        <w:rPr>
          <w:rFonts w:ascii="Arial" w:hAnsi="Arial" w:cs="Arial"/>
          <w:lang w:eastAsia="en-GB"/>
        </w:rPr>
        <w:t xml:space="preserve"> submitted to the </w:t>
      </w:r>
      <w:r>
        <w:rPr>
          <w:rFonts w:ascii="Arial" w:hAnsi="Arial" w:cs="Arial"/>
          <w:lang w:eastAsia="en-GB"/>
        </w:rPr>
        <w:lastRenderedPageBreak/>
        <w:t>Secretary of State for Communities and Local Government for Independent Examination, so can be given a degree of weight.</w:t>
      </w:r>
    </w:p>
    <w:p w:rsidR="003B3DE6" w:rsidRDefault="003B3DE6" w:rsidP="003B3DE6">
      <w:pPr>
        <w:pStyle w:val="ListParagraph"/>
        <w:rPr>
          <w:rFonts w:ascii="Arial" w:hAnsi="Arial" w:cs="Arial"/>
          <w:u w:val="single"/>
          <w:lang w:eastAsia="en-GB"/>
        </w:rPr>
      </w:pPr>
    </w:p>
    <w:p w:rsidR="00BA14EB" w:rsidRPr="003B3DE6" w:rsidRDefault="00984F3E" w:rsidP="003B3DE6">
      <w:pPr>
        <w:numPr>
          <w:ilvl w:val="1"/>
          <w:numId w:val="3"/>
        </w:numPr>
        <w:ind w:left="540" w:hanging="540"/>
        <w:jc w:val="both"/>
        <w:rPr>
          <w:rFonts w:ascii="Arial" w:hAnsi="Arial" w:cs="Arial"/>
          <w:lang w:eastAsia="en-GB"/>
        </w:rPr>
      </w:pPr>
      <w:r w:rsidRPr="003B3DE6">
        <w:rPr>
          <w:rFonts w:ascii="Arial" w:hAnsi="Arial" w:cs="Arial"/>
          <w:u w:val="single"/>
          <w:lang w:eastAsia="en-GB"/>
        </w:rPr>
        <w:t>National Planning Policy</w:t>
      </w:r>
    </w:p>
    <w:p w:rsidR="003B3DE6" w:rsidRDefault="003B3DE6" w:rsidP="003B3DE6">
      <w:pPr>
        <w:pStyle w:val="ListParagraph"/>
        <w:rPr>
          <w:rFonts w:ascii="Arial" w:hAnsi="Arial" w:cs="Arial"/>
          <w:lang w:eastAsia="en-GB"/>
        </w:rPr>
      </w:pPr>
    </w:p>
    <w:p w:rsidR="00535433" w:rsidRPr="00535433" w:rsidRDefault="00BA14EB" w:rsidP="00BA14EB">
      <w:pPr>
        <w:numPr>
          <w:ilvl w:val="1"/>
          <w:numId w:val="3"/>
        </w:numPr>
        <w:ind w:left="540" w:hanging="540"/>
        <w:jc w:val="both"/>
        <w:rPr>
          <w:rFonts w:ascii="Arial" w:hAnsi="Arial" w:cs="Arial"/>
          <w:lang w:eastAsia="en-GB"/>
        </w:rPr>
      </w:pPr>
      <w:r w:rsidRPr="007F6229">
        <w:rPr>
          <w:rFonts w:ascii="Arial" w:hAnsi="Arial" w:cs="Arial"/>
          <w:lang w:eastAsia="en-GB"/>
        </w:rPr>
        <w:t xml:space="preserve">The National Planning Policy Framework (NPPF) provides national perspective on the preparation of Local Plans. Whilst the NPPF does not explicitly require the use of the settlement boundaries approach for controlling the location of development, Paragraph 151 (NPPF) which deals with Plan Making, states </w:t>
      </w:r>
      <w:r w:rsidRPr="007F6229">
        <w:rPr>
          <w:rFonts w:ascii="Arial" w:hAnsi="Arial" w:cs="Arial"/>
          <w:i/>
          <w:lang w:eastAsia="en-GB"/>
        </w:rPr>
        <w:t xml:space="preserve">‘Local Plans must be prepared with the objective of contributing to the achievement of sustainable development. To this end, they should be consistent with the principles and policies set out in this Framework, including the presumption in favour of sustainable development’. </w:t>
      </w:r>
    </w:p>
    <w:p w:rsidR="00535433" w:rsidRPr="00535433" w:rsidRDefault="00535433" w:rsidP="00535433">
      <w:pPr>
        <w:ind w:left="540"/>
        <w:jc w:val="both"/>
        <w:rPr>
          <w:rFonts w:ascii="Arial" w:hAnsi="Arial" w:cs="Arial"/>
          <w:lang w:eastAsia="en-GB"/>
        </w:rPr>
      </w:pPr>
    </w:p>
    <w:p w:rsidR="00535433" w:rsidRDefault="00BA14EB" w:rsidP="00BA14EB">
      <w:pPr>
        <w:numPr>
          <w:ilvl w:val="1"/>
          <w:numId w:val="3"/>
        </w:numPr>
        <w:ind w:left="540" w:hanging="540"/>
        <w:jc w:val="both"/>
        <w:rPr>
          <w:rFonts w:ascii="Arial" w:hAnsi="Arial" w:cs="Arial"/>
          <w:lang w:eastAsia="en-GB"/>
        </w:rPr>
      </w:pPr>
      <w:r w:rsidRPr="007F6229">
        <w:rPr>
          <w:rFonts w:ascii="Arial" w:hAnsi="Arial" w:cs="Arial"/>
          <w:lang w:eastAsia="en-GB"/>
        </w:rPr>
        <w:t xml:space="preserve">Paragraph 17 sets out ‘Core Planning Principles’ which places an emphasis on the conservation and enhancement of the natural environment, and a need to </w:t>
      </w:r>
      <w:r w:rsidRPr="007F6229">
        <w:rPr>
          <w:rFonts w:ascii="Arial" w:hAnsi="Arial" w:cs="Arial"/>
          <w:i/>
          <w:lang w:eastAsia="en-GB"/>
        </w:rPr>
        <w:t xml:space="preserve">‘take account of different roles and character of different areas, promoting the vitality of our main urban areas, protecting the Green Belts around them, recognising the intrinsic character and beauty of the countryside…’ </w:t>
      </w:r>
      <w:r w:rsidRPr="007F6229">
        <w:rPr>
          <w:rFonts w:ascii="Arial" w:hAnsi="Arial" w:cs="Arial"/>
          <w:lang w:eastAsia="en-GB"/>
        </w:rPr>
        <w:t xml:space="preserve">Policy 6: Delivering a wide choice of high quality homes (NPPF) also includes direction on where to locate new housing. Specifically, paragraph 53 (NPPF) states </w:t>
      </w:r>
      <w:r w:rsidRPr="007F6229">
        <w:rPr>
          <w:rFonts w:ascii="Arial" w:hAnsi="Arial" w:cs="Arial"/>
          <w:i/>
          <w:lang w:eastAsia="en-GB"/>
        </w:rPr>
        <w:t>‘Local Planning Authorities should consider the case for setting out policies to resist inappropriate development of residential gardens, for example where development would cause harm to the local area’</w:t>
      </w:r>
      <w:r w:rsidRPr="007F6229">
        <w:rPr>
          <w:rFonts w:ascii="Arial" w:hAnsi="Arial" w:cs="Arial"/>
          <w:lang w:eastAsia="en-GB"/>
        </w:rPr>
        <w:t xml:space="preserve">. Paragraph 55 (NPPF) also sets out a policy direction to avoid the location of new homes in the countryside, except where they meet a local rural employment need, re-use a building, or are exceptional  or innovative in quality or nature. </w:t>
      </w:r>
    </w:p>
    <w:p w:rsidR="00535433" w:rsidRDefault="00535433" w:rsidP="00535433">
      <w:pPr>
        <w:pStyle w:val="ListParagraph"/>
        <w:rPr>
          <w:rFonts w:ascii="Arial" w:hAnsi="Arial" w:cs="Arial"/>
          <w:lang w:eastAsia="en-GB"/>
        </w:rPr>
      </w:pPr>
    </w:p>
    <w:p w:rsidR="00BA14EB" w:rsidRPr="007F6229" w:rsidRDefault="00BA14EB" w:rsidP="00BA14EB">
      <w:pPr>
        <w:numPr>
          <w:ilvl w:val="1"/>
          <w:numId w:val="3"/>
        </w:numPr>
        <w:ind w:left="540" w:hanging="540"/>
        <w:jc w:val="both"/>
        <w:rPr>
          <w:rFonts w:ascii="Arial" w:hAnsi="Arial" w:cs="Arial"/>
          <w:lang w:eastAsia="en-GB"/>
        </w:rPr>
      </w:pPr>
      <w:r w:rsidRPr="007F6229">
        <w:rPr>
          <w:rFonts w:ascii="Arial" w:hAnsi="Arial" w:cs="Arial"/>
          <w:lang w:eastAsia="en-GB"/>
        </w:rPr>
        <w:t xml:space="preserve">In general, the over-riding national planning policy direction accords with the settlement boundary approach to control the location of new development. This was largely confirmed through the </w:t>
      </w:r>
      <w:r w:rsidRPr="007F6229">
        <w:rPr>
          <w:rFonts w:ascii="Arial" w:eastAsiaTheme="minorHAnsi" w:hAnsi="Arial" w:cs="Arial"/>
        </w:rPr>
        <w:t>Adopted Core Spatial Strategy – assessment of compatibility with National Planning Policy Framework which was presented to North Northamptonshire Joint Committee on 14</w:t>
      </w:r>
      <w:r w:rsidRPr="007F6229">
        <w:rPr>
          <w:rFonts w:ascii="Arial" w:eastAsiaTheme="minorHAnsi" w:hAnsi="Arial" w:cs="Arial"/>
          <w:vertAlign w:val="superscript"/>
        </w:rPr>
        <w:t>th</w:t>
      </w:r>
      <w:r w:rsidRPr="007F6229">
        <w:rPr>
          <w:rFonts w:ascii="Arial" w:eastAsiaTheme="minorHAnsi" w:hAnsi="Arial" w:cs="Arial"/>
        </w:rPr>
        <w:t xml:space="preserve"> March 2013.</w:t>
      </w:r>
    </w:p>
    <w:p w:rsidR="00BA14EB" w:rsidRDefault="00BA14EB" w:rsidP="00BA14EB">
      <w:pPr>
        <w:rPr>
          <w:rFonts w:ascii="Arial" w:hAnsi="Arial" w:cs="Arial"/>
          <w:b/>
        </w:rPr>
      </w:pPr>
    </w:p>
    <w:p w:rsidR="00BA14EB" w:rsidRPr="0044526A" w:rsidRDefault="00355AD1" w:rsidP="00355AD1">
      <w:pPr>
        <w:pStyle w:val="ListParagraph"/>
        <w:ind w:left="567" w:hanging="567"/>
        <w:rPr>
          <w:rFonts w:ascii="Arial" w:hAnsi="Arial" w:cs="Arial"/>
          <w:b/>
        </w:rPr>
      </w:pPr>
      <w:r>
        <w:rPr>
          <w:rFonts w:ascii="Arial" w:hAnsi="Arial" w:cs="Arial"/>
          <w:b/>
        </w:rPr>
        <w:t>4.</w:t>
      </w:r>
      <w:r>
        <w:rPr>
          <w:rFonts w:ascii="Arial" w:hAnsi="Arial" w:cs="Arial"/>
          <w:b/>
        </w:rPr>
        <w:tab/>
      </w:r>
      <w:r w:rsidR="00BA14EB" w:rsidRPr="0044526A">
        <w:rPr>
          <w:rFonts w:ascii="Arial" w:hAnsi="Arial" w:cs="Arial"/>
          <w:b/>
          <w:u w:val="single"/>
        </w:rPr>
        <w:t>CONSULTATION</w:t>
      </w:r>
    </w:p>
    <w:p w:rsidR="00BA14EB" w:rsidRDefault="00BA14EB" w:rsidP="00BA14EB">
      <w:pPr>
        <w:tabs>
          <w:tab w:val="left" w:pos="0"/>
        </w:tabs>
        <w:jc w:val="both"/>
        <w:rPr>
          <w:rFonts w:ascii="Arial" w:hAnsi="Arial" w:cs="Arial"/>
        </w:rPr>
      </w:pPr>
    </w:p>
    <w:p w:rsidR="00BA14EB" w:rsidRPr="0044526A" w:rsidRDefault="00355AD1" w:rsidP="00355AD1">
      <w:pPr>
        <w:pStyle w:val="ListParagraph"/>
        <w:ind w:left="567" w:hanging="567"/>
        <w:jc w:val="both"/>
        <w:rPr>
          <w:rFonts w:ascii="Arial" w:hAnsi="Arial" w:cs="Arial"/>
        </w:rPr>
      </w:pPr>
      <w:r>
        <w:rPr>
          <w:rFonts w:ascii="Arial" w:hAnsi="Arial" w:cs="Arial"/>
        </w:rPr>
        <w:tab/>
      </w:r>
      <w:r w:rsidR="00BA14EB" w:rsidRPr="0044526A">
        <w:rPr>
          <w:rFonts w:ascii="Arial" w:hAnsi="Arial" w:cs="Arial"/>
        </w:rPr>
        <w:t>The SSP</w:t>
      </w:r>
      <w:r w:rsidR="00F952ED">
        <w:rPr>
          <w:rFonts w:ascii="Arial" w:hAnsi="Arial" w:cs="Arial"/>
        </w:rPr>
        <w:t xml:space="preserve"> </w:t>
      </w:r>
      <w:r w:rsidR="00BA14EB" w:rsidRPr="0044526A">
        <w:rPr>
          <w:rFonts w:ascii="Arial" w:hAnsi="Arial" w:cs="Arial"/>
        </w:rPr>
        <w:t>LDD</w:t>
      </w:r>
      <w:r w:rsidR="00BA14EB" w:rsidRPr="0044526A">
        <w:rPr>
          <w:rFonts w:ascii="Arial" w:hAnsi="Arial" w:cs="Arial"/>
          <w:b/>
          <w:sz w:val="32"/>
          <w:szCs w:val="32"/>
        </w:rPr>
        <w:t xml:space="preserve"> </w:t>
      </w:r>
      <w:r w:rsidR="00BA14EB" w:rsidRPr="0044526A">
        <w:rPr>
          <w:rFonts w:ascii="Arial" w:hAnsi="Arial" w:cs="Arial"/>
        </w:rPr>
        <w:t xml:space="preserve">Background Paper: Settlement Boundaries (September 2015) </w:t>
      </w:r>
      <w:r w:rsidR="00BA14EB">
        <w:rPr>
          <w:rFonts w:ascii="Arial" w:hAnsi="Arial" w:cs="Arial"/>
        </w:rPr>
        <w:t xml:space="preserve">will be updated to include identified housing and employment allocations in accordance with the existing </w:t>
      </w:r>
      <w:r w:rsidR="00BA14EB" w:rsidRPr="0044526A">
        <w:rPr>
          <w:rFonts w:ascii="Arial" w:hAnsi="Arial" w:cs="Arial"/>
        </w:rPr>
        <w:t>settlement boundary defi</w:t>
      </w:r>
      <w:r w:rsidR="00BA14EB">
        <w:rPr>
          <w:rFonts w:ascii="Arial" w:hAnsi="Arial" w:cs="Arial"/>
        </w:rPr>
        <w:t xml:space="preserve">ning principles 2(d) and 3(b), and then </w:t>
      </w:r>
      <w:r w:rsidR="00BA14EB" w:rsidRPr="0044526A">
        <w:rPr>
          <w:rFonts w:ascii="Arial" w:hAnsi="Arial" w:cs="Arial"/>
        </w:rPr>
        <w:t xml:space="preserve">published for public consultation for six weeks (dates to be confirmed).  Following receipt of comments the </w:t>
      </w:r>
      <w:r w:rsidR="00BA14EB">
        <w:rPr>
          <w:rFonts w:ascii="Arial" w:hAnsi="Arial" w:cs="Arial"/>
        </w:rPr>
        <w:t xml:space="preserve">settlement boundaries </w:t>
      </w:r>
      <w:r w:rsidR="00BA14EB" w:rsidRPr="0044526A">
        <w:rPr>
          <w:rFonts w:ascii="Arial" w:hAnsi="Arial" w:cs="Arial"/>
        </w:rPr>
        <w:t xml:space="preserve">will be reviewed, and where appropriate updated to address comments made. The document will then be reported back to Planning Policy Committee for Members to determine.  </w:t>
      </w:r>
      <w:r w:rsidR="00BA14EB" w:rsidRPr="0044526A">
        <w:rPr>
          <w:rFonts w:ascii="Arial" w:hAnsi="Arial" w:cs="Arial"/>
          <w:color w:val="000000"/>
        </w:rPr>
        <w:t>Further public consultation will then take place on the Pre-Submission Plan in line with the timetable set out in</w:t>
      </w:r>
      <w:r w:rsidR="00BA14EB" w:rsidRPr="0044526A">
        <w:rPr>
          <w:rFonts w:ascii="Arial" w:hAnsi="Arial" w:cs="Arial"/>
          <w:color w:val="FF0000"/>
        </w:rPr>
        <w:t xml:space="preserve"> </w:t>
      </w:r>
      <w:r w:rsidR="00BA14EB" w:rsidRPr="00F952ED">
        <w:rPr>
          <w:rFonts w:ascii="Arial" w:hAnsi="Arial" w:cs="Arial"/>
          <w:color w:val="000000" w:themeColor="text1"/>
        </w:rPr>
        <w:t>Item 1 of this agenda.</w:t>
      </w:r>
    </w:p>
    <w:p w:rsidR="00BA14EB" w:rsidRDefault="00BA14EB" w:rsidP="00BA14EB">
      <w:pPr>
        <w:ind w:left="567" w:hanging="567"/>
        <w:jc w:val="both"/>
        <w:rPr>
          <w:rFonts w:ascii="Arial" w:hAnsi="Arial" w:cs="Arial"/>
          <w:b/>
        </w:rPr>
      </w:pPr>
    </w:p>
    <w:p w:rsidR="00F902DD" w:rsidRDefault="00F902DD" w:rsidP="00BA14EB">
      <w:pPr>
        <w:ind w:left="567" w:hanging="567"/>
        <w:jc w:val="both"/>
        <w:rPr>
          <w:rFonts w:ascii="Arial" w:hAnsi="Arial" w:cs="Arial"/>
          <w:b/>
        </w:rPr>
      </w:pPr>
    </w:p>
    <w:p w:rsidR="00F902DD" w:rsidRDefault="00F902DD" w:rsidP="00BA14EB">
      <w:pPr>
        <w:ind w:left="567" w:hanging="567"/>
        <w:jc w:val="both"/>
        <w:rPr>
          <w:rFonts w:ascii="Arial" w:hAnsi="Arial" w:cs="Arial"/>
          <w:b/>
        </w:rPr>
      </w:pPr>
    </w:p>
    <w:p w:rsidR="00F902DD" w:rsidRDefault="00F902DD" w:rsidP="00BA14EB">
      <w:pPr>
        <w:ind w:left="567" w:hanging="567"/>
        <w:jc w:val="both"/>
        <w:rPr>
          <w:rFonts w:ascii="Arial" w:hAnsi="Arial" w:cs="Arial"/>
          <w:b/>
        </w:rPr>
      </w:pPr>
    </w:p>
    <w:p w:rsidR="00BA14EB" w:rsidRDefault="00355AD1" w:rsidP="00355AD1">
      <w:pPr>
        <w:ind w:left="567" w:hanging="567"/>
        <w:jc w:val="both"/>
        <w:rPr>
          <w:rFonts w:ascii="Arial" w:hAnsi="Arial" w:cs="Arial"/>
          <w:b/>
          <w:u w:val="single"/>
        </w:rPr>
      </w:pPr>
      <w:r>
        <w:rPr>
          <w:rFonts w:ascii="Arial" w:hAnsi="Arial" w:cs="Arial"/>
          <w:b/>
        </w:rPr>
        <w:t>5.</w:t>
      </w:r>
      <w:r>
        <w:rPr>
          <w:rFonts w:ascii="Arial" w:hAnsi="Arial" w:cs="Arial"/>
          <w:b/>
        </w:rPr>
        <w:tab/>
      </w:r>
      <w:r w:rsidR="00BA14EB">
        <w:rPr>
          <w:rFonts w:ascii="Arial" w:hAnsi="Arial" w:cs="Arial"/>
          <w:b/>
          <w:u w:val="single"/>
        </w:rPr>
        <w:t>POLICY IMPLICATIONS</w:t>
      </w:r>
    </w:p>
    <w:p w:rsidR="00BA14EB" w:rsidRDefault="00BA14EB" w:rsidP="00BA14EB">
      <w:pPr>
        <w:jc w:val="both"/>
        <w:rPr>
          <w:rFonts w:ascii="Arial" w:hAnsi="Arial" w:cs="Arial"/>
          <w:b/>
          <w:u w:val="single"/>
        </w:rPr>
      </w:pPr>
    </w:p>
    <w:p w:rsidR="00BA14EB" w:rsidRPr="003559C9" w:rsidRDefault="00BA14EB" w:rsidP="00BA14EB">
      <w:pPr>
        <w:pStyle w:val="BodyTextIndent3"/>
        <w:rPr>
          <w:b/>
          <w:u w:val="single"/>
        </w:rPr>
      </w:pPr>
      <w:r>
        <w:tab/>
        <w:t xml:space="preserve">The </w:t>
      </w:r>
      <w:r w:rsidRPr="0044526A">
        <w:t>SSP</w:t>
      </w:r>
      <w:r w:rsidR="00F952ED">
        <w:t xml:space="preserve"> </w:t>
      </w:r>
      <w:r w:rsidRPr="0044526A">
        <w:t>LDD</w:t>
      </w:r>
      <w:r w:rsidRPr="0044526A">
        <w:rPr>
          <w:b/>
          <w:sz w:val="32"/>
          <w:szCs w:val="32"/>
        </w:rPr>
        <w:t xml:space="preserve"> </w:t>
      </w:r>
      <w:r w:rsidRPr="0044526A">
        <w:t xml:space="preserve">Background Paper: Settlement Boundaries (September 2015) </w:t>
      </w:r>
      <w:r>
        <w:t>will form part of the Kettering Borough SSP</w:t>
      </w:r>
      <w:r w:rsidR="00F952ED">
        <w:t xml:space="preserve"> </w:t>
      </w:r>
      <w:r>
        <w:t>LDD. When adopted this will form part of the Development Plan for North Northamptonshire.</w:t>
      </w:r>
    </w:p>
    <w:p w:rsidR="00BA14EB" w:rsidRDefault="00BA14EB" w:rsidP="00BA14EB">
      <w:pPr>
        <w:pStyle w:val="BodyTextIndent3"/>
        <w:ind w:left="0" w:firstLine="0"/>
        <w:rPr>
          <w:b/>
          <w:u w:val="single"/>
        </w:rPr>
      </w:pPr>
    </w:p>
    <w:p w:rsidR="00BA14EB" w:rsidRDefault="00355AD1" w:rsidP="00355AD1">
      <w:pPr>
        <w:ind w:left="567" w:hanging="567"/>
        <w:jc w:val="both"/>
        <w:rPr>
          <w:rFonts w:ascii="Arial" w:hAnsi="Arial" w:cs="Arial"/>
          <w:b/>
          <w:u w:val="single"/>
        </w:rPr>
      </w:pPr>
      <w:r>
        <w:rPr>
          <w:rFonts w:ascii="Arial" w:hAnsi="Arial" w:cs="Arial"/>
          <w:b/>
        </w:rPr>
        <w:t>6.</w:t>
      </w:r>
      <w:r>
        <w:rPr>
          <w:rFonts w:ascii="Arial" w:hAnsi="Arial" w:cs="Arial"/>
          <w:b/>
        </w:rPr>
        <w:tab/>
      </w:r>
      <w:r w:rsidR="00BA14EB">
        <w:rPr>
          <w:rFonts w:ascii="Arial" w:hAnsi="Arial" w:cs="Arial"/>
          <w:b/>
          <w:u w:val="single"/>
        </w:rPr>
        <w:t>FINANCIAL/RESOURCE IMPLICATIONS</w:t>
      </w:r>
    </w:p>
    <w:p w:rsidR="00BA14EB" w:rsidRDefault="00BA14EB" w:rsidP="00BA14EB">
      <w:pPr>
        <w:jc w:val="both"/>
        <w:rPr>
          <w:rFonts w:ascii="Arial" w:hAnsi="Arial" w:cs="Arial"/>
          <w:b/>
          <w:u w:val="single"/>
        </w:rPr>
      </w:pPr>
    </w:p>
    <w:p w:rsidR="00BA14EB" w:rsidRDefault="00355AD1" w:rsidP="00BA14EB">
      <w:pPr>
        <w:ind w:left="567" w:hanging="567"/>
        <w:jc w:val="both"/>
      </w:pPr>
      <w:r>
        <w:rPr>
          <w:rFonts w:ascii="Arial" w:hAnsi="Arial" w:cs="Arial"/>
        </w:rPr>
        <w:tab/>
      </w:r>
      <w:r w:rsidR="00BA14EB" w:rsidRPr="003D243F">
        <w:rPr>
          <w:rFonts w:ascii="Arial" w:hAnsi="Arial" w:cs="Arial"/>
        </w:rPr>
        <w:t xml:space="preserve">The consultation proposals contained in this report will be met within the existing Development Services </w:t>
      </w:r>
      <w:r w:rsidR="00BA14EB">
        <w:rPr>
          <w:rFonts w:ascii="Arial" w:hAnsi="Arial" w:cs="Arial"/>
        </w:rPr>
        <w:t xml:space="preserve">Planning Policy </w:t>
      </w:r>
      <w:r w:rsidR="00BA14EB" w:rsidRPr="003D243F">
        <w:rPr>
          <w:rFonts w:ascii="Arial" w:hAnsi="Arial" w:cs="Arial"/>
        </w:rPr>
        <w:t>budget.</w:t>
      </w:r>
    </w:p>
    <w:p w:rsidR="00BA14EB" w:rsidRDefault="00BA14EB" w:rsidP="00BA14EB">
      <w:pPr>
        <w:pStyle w:val="BodyTextIndent"/>
        <w:tabs>
          <w:tab w:val="left" w:pos="540"/>
        </w:tabs>
        <w:ind w:left="540" w:hanging="5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BA14EB" w:rsidTr="00355AD1">
        <w:trPr>
          <w:trHeight w:val="651"/>
        </w:trPr>
        <w:tc>
          <w:tcPr>
            <w:tcW w:w="9242" w:type="dxa"/>
          </w:tcPr>
          <w:p w:rsidR="00355AD1" w:rsidRDefault="00355AD1" w:rsidP="00355AD1">
            <w:pPr>
              <w:tabs>
                <w:tab w:val="left" w:pos="540"/>
              </w:tabs>
              <w:ind w:left="900"/>
              <w:jc w:val="both"/>
              <w:rPr>
                <w:rFonts w:ascii="Arial" w:hAnsi="Arial" w:cs="Arial"/>
                <w:b/>
                <w:u w:val="single"/>
              </w:rPr>
            </w:pPr>
          </w:p>
          <w:p w:rsidR="00BA14EB" w:rsidRDefault="00355AD1" w:rsidP="00355AD1">
            <w:pPr>
              <w:ind w:left="567" w:hanging="567"/>
              <w:jc w:val="both"/>
              <w:rPr>
                <w:rFonts w:ascii="Arial" w:hAnsi="Arial" w:cs="Arial"/>
                <w:b/>
                <w:u w:val="single"/>
              </w:rPr>
            </w:pPr>
            <w:r>
              <w:rPr>
                <w:rFonts w:ascii="Arial" w:hAnsi="Arial" w:cs="Arial"/>
                <w:b/>
              </w:rPr>
              <w:t>7.</w:t>
            </w:r>
            <w:r>
              <w:rPr>
                <w:rFonts w:ascii="Arial" w:hAnsi="Arial" w:cs="Arial"/>
                <w:b/>
              </w:rPr>
              <w:tab/>
            </w:r>
            <w:r w:rsidR="00BA14EB">
              <w:rPr>
                <w:rFonts w:ascii="Arial" w:hAnsi="Arial" w:cs="Arial"/>
                <w:b/>
                <w:u w:val="single"/>
              </w:rPr>
              <w:t>RECOMMENDATION</w:t>
            </w:r>
          </w:p>
          <w:p w:rsidR="00BA14EB" w:rsidRDefault="00BA14EB" w:rsidP="00133E80">
            <w:pPr>
              <w:tabs>
                <w:tab w:val="left" w:pos="540"/>
              </w:tabs>
              <w:ind w:left="570"/>
              <w:jc w:val="both"/>
              <w:rPr>
                <w:rFonts w:ascii="Arial" w:hAnsi="Arial" w:cs="Arial"/>
                <w:b/>
                <w:u w:val="single"/>
              </w:rPr>
            </w:pPr>
          </w:p>
          <w:p w:rsidR="00BA14EB" w:rsidRPr="00A46D5B" w:rsidRDefault="00BA14EB" w:rsidP="00F952ED">
            <w:pPr>
              <w:ind w:left="567"/>
              <w:jc w:val="both"/>
              <w:rPr>
                <w:rFonts w:ascii="Arial" w:hAnsi="Arial" w:cs="Arial"/>
              </w:rPr>
            </w:pPr>
            <w:r w:rsidRPr="00A46D5B">
              <w:rPr>
                <w:rFonts w:ascii="Arial" w:hAnsi="Arial" w:cs="Arial"/>
              </w:rPr>
              <w:t xml:space="preserve">It is recommended that Members </w:t>
            </w:r>
            <w:r w:rsidR="00F952ED">
              <w:rPr>
                <w:rFonts w:ascii="Arial" w:hAnsi="Arial" w:cs="Arial"/>
              </w:rPr>
              <w:t xml:space="preserve">agree </w:t>
            </w:r>
            <w:r w:rsidRPr="00A46D5B">
              <w:rPr>
                <w:rFonts w:ascii="Arial" w:hAnsi="Arial" w:cs="Arial"/>
              </w:rPr>
              <w:t xml:space="preserve">the contents of the </w:t>
            </w:r>
            <w:r>
              <w:rPr>
                <w:rFonts w:ascii="Arial" w:hAnsi="Arial" w:cs="Arial"/>
              </w:rPr>
              <w:t xml:space="preserve">updated </w:t>
            </w:r>
            <w:r w:rsidR="00F952ED">
              <w:rPr>
                <w:rFonts w:ascii="Arial" w:hAnsi="Arial" w:cs="Arial"/>
              </w:rPr>
              <w:t>SSP LDD Background P</w:t>
            </w:r>
            <w:r>
              <w:rPr>
                <w:rFonts w:ascii="Arial" w:hAnsi="Arial" w:cs="Arial"/>
              </w:rPr>
              <w:t xml:space="preserve">aper (September 2015) and </w:t>
            </w:r>
            <w:r w:rsidRPr="00A46D5B">
              <w:rPr>
                <w:rFonts w:ascii="Arial" w:hAnsi="Arial" w:cs="Arial"/>
              </w:rPr>
              <w:t>endorse the document</w:t>
            </w:r>
            <w:r>
              <w:rPr>
                <w:rFonts w:ascii="Arial" w:hAnsi="Arial" w:cs="Arial"/>
              </w:rPr>
              <w:t>ation for public consultation following</w:t>
            </w:r>
            <w:r w:rsidR="00F952ED">
              <w:rPr>
                <w:rFonts w:ascii="Arial" w:hAnsi="Arial" w:cs="Arial"/>
              </w:rPr>
              <w:t xml:space="preserve"> an</w:t>
            </w:r>
            <w:r>
              <w:rPr>
                <w:rFonts w:ascii="Arial" w:hAnsi="Arial" w:cs="Arial"/>
              </w:rPr>
              <w:t xml:space="preserve"> update of housing and employment allocations.</w:t>
            </w:r>
          </w:p>
          <w:p w:rsidR="00BA14EB" w:rsidRDefault="00BA14EB" w:rsidP="00133E80">
            <w:pPr>
              <w:ind w:left="540"/>
              <w:jc w:val="both"/>
              <w:rPr>
                <w:rFonts w:ascii="Arial" w:hAnsi="Arial" w:cs="Arial"/>
              </w:rPr>
            </w:pPr>
          </w:p>
        </w:tc>
      </w:tr>
    </w:tbl>
    <w:p w:rsidR="00BA14EB" w:rsidRDefault="00BA14EB" w:rsidP="00BA14EB">
      <w:pPr>
        <w:tabs>
          <w:tab w:val="left" w:pos="5670"/>
        </w:tabs>
        <w:rPr>
          <w:rFonts w:ascii="Arial" w:hAnsi="Arial" w:cs="Arial"/>
        </w:rPr>
      </w:pPr>
    </w:p>
    <w:p w:rsidR="00F902DD" w:rsidRDefault="00F902DD" w:rsidP="00BA14EB">
      <w:pPr>
        <w:tabs>
          <w:tab w:val="left" w:pos="5670"/>
        </w:tabs>
        <w:rPr>
          <w:rFonts w:ascii="Arial" w:hAnsi="Arial" w:cs="Arial"/>
        </w:rPr>
      </w:pPr>
    </w:p>
    <w:p w:rsidR="00355AD1" w:rsidRDefault="00355AD1" w:rsidP="00BA14EB">
      <w:pPr>
        <w:tabs>
          <w:tab w:val="left" w:pos="5670"/>
        </w:tabs>
        <w:rPr>
          <w:rFonts w:ascii="Arial" w:hAnsi="Arial" w:cs="Arial"/>
        </w:rPr>
      </w:pPr>
    </w:p>
    <w:p w:rsidR="00355AD1" w:rsidRDefault="00355AD1" w:rsidP="00BA14EB">
      <w:pPr>
        <w:tabs>
          <w:tab w:val="left" w:pos="5670"/>
        </w:tabs>
        <w:rPr>
          <w:rFonts w:ascii="Arial" w:hAnsi="Arial" w:cs="Arial"/>
        </w:rPr>
      </w:pPr>
      <w:bookmarkStart w:id="0" w:name="_GoBack"/>
      <w:bookmarkEnd w:id="0"/>
    </w:p>
    <w:p w:rsidR="00BA14EB" w:rsidRPr="006003DF" w:rsidRDefault="00BA14EB" w:rsidP="00BA14EB">
      <w:pPr>
        <w:rPr>
          <w:rFonts w:ascii="Arial" w:hAnsi="Arial" w:cs="Arial"/>
          <w:color w:val="000000" w:themeColor="text1"/>
        </w:rPr>
      </w:pPr>
      <w:r w:rsidRPr="006003DF">
        <w:rPr>
          <w:rFonts w:ascii="Arial" w:hAnsi="Arial" w:cs="Arial"/>
          <w:color w:val="000000" w:themeColor="text1"/>
        </w:rPr>
        <w:t>Appendix 1: Site Specific Proposals Local Development Document (SSPLDD)</w:t>
      </w:r>
      <w:r w:rsidRPr="006003DF">
        <w:rPr>
          <w:rFonts w:ascii="Arial" w:hAnsi="Arial" w:cs="Arial"/>
          <w:b/>
          <w:color w:val="000000" w:themeColor="text1"/>
          <w:sz w:val="32"/>
          <w:szCs w:val="32"/>
        </w:rPr>
        <w:t xml:space="preserve"> </w:t>
      </w:r>
      <w:r w:rsidRPr="006003DF">
        <w:rPr>
          <w:rFonts w:ascii="Arial" w:hAnsi="Arial" w:cs="Arial"/>
          <w:color w:val="000000" w:themeColor="text1"/>
        </w:rPr>
        <w:t>Background Paper: Settlement Boundaries (Update) September 2015.</w:t>
      </w:r>
    </w:p>
    <w:p w:rsidR="00BA14EB" w:rsidRPr="006003DF" w:rsidRDefault="00BA14EB" w:rsidP="00BA14EB">
      <w:pPr>
        <w:rPr>
          <w:rFonts w:ascii="Arial" w:hAnsi="Arial" w:cs="Arial"/>
          <w:color w:val="000000" w:themeColor="text1"/>
        </w:rPr>
      </w:pPr>
    </w:p>
    <w:p w:rsidR="00BA14EB" w:rsidRPr="006003DF" w:rsidRDefault="00BA14EB" w:rsidP="00BA14EB">
      <w:pPr>
        <w:rPr>
          <w:rFonts w:ascii="Arial" w:hAnsi="Arial" w:cs="Arial"/>
          <w:color w:val="000000" w:themeColor="text1"/>
        </w:rPr>
      </w:pPr>
      <w:r w:rsidRPr="006003DF">
        <w:rPr>
          <w:rFonts w:ascii="Arial" w:hAnsi="Arial" w:cs="Arial"/>
          <w:color w:val="000000" w:themeColor="text1"/>
        </w:rPr>
        <w:t>Appendix 2: Site Specific Proposals Local Development Document (SSPLDD)</w:t>
      </w:r>
      <w:r w:rsidRPr="006003DF">
        <w:rPr>
          <w:rFonts w:ascii="Arial" w:hAnsi="Arial" w:cs="Arial"/>
          <w:b/>
          <w:color w:val="000000" w:themeColor="text1"/>
          <w:sz w:val="32"/>
          <w:szCs w:val="32"/>
        </w:rPr>
        <w:t xml:space="preserve"> </w:t>
      </w:r>
      <w:r w:rsidRPr="006003DF">
        <w:rPr>
          <w:rFonts w:ascii="Arial" w:hAnsi="Arial" w:cs="Arial"/>
          <w:color w:val="000000" w:themeColor="text1"/>
        </w:rPr>
        <w:t>Background Paper: Settlement Boundaries (February 2012)</w:t>
      </w:r>
    </w:p>
    <w:p w:rsidR="00BA14EB" w:rsidRDefault="00BA14EB" w:rsidP="00BA14EB">
      <w:pPr>
        <w:tabs>
          <w:tab w:val="left" w:pos="5670"/>
        </w:tabs>
        <w:rPr>
          <w:rFonts w:ascii="Arial" w:hAnsi="Arial" w:cs="Arial"/>
        </w:rPr>
      </w:pPr>
    </w:p>
    <w:p w:rsidR="00984F3E" w:rsidRDefault="00984F3E" w:rsidP="00BA14EB">
      <w:pPr>
        <w:tabs>
          <w:tab w:val="left" w:pos="5670"/>
        </w:tabs>
        <w:rPr>
          <w:rFonts w:ascii="Arial" w:hAnsi="Arial" w:cs="Arial"/>
        </w:rPr>
      </w:pPr>
    </w:p>
    <w:p w:rsidR="00BA14EB" w:rsidRDefault="00984F3E" w:rsidP="00BA14EB">
      <w:pPr>
        <w:tabs>
          <w:tab w:val="left" w:pos="5670"/>
        </w:tabs>
        <w:jc w:val="both"/>
        <w:rPr>
          <w:rFonts w:ascii="Arial" w:hAnsi="Arial" w:cs="Arial"/>
        </w:rPr>
      </w:pPr>
      <w:r>
        <w:rPr>
          <w:rFonts w:ascii="Arial" w:hAnsi="Arial" w:cs="Arial"/>
          <w:u w:val="single"/>
        </w:rPr>
        <w:t>Relevant Committee/Minutes</w:t>
      </w:r>
      <w:r w:rsidR="00BA14EB" w:rsidRPr="003518C1">
        <w:rPr>
          <w:rFonts w:ascii="Arial" w:hAnsi="Arial" w:cs="Arial"/>
        </w:rPr>
        <w:t>:</w:t>
      </w:r>
    </w:p>
    <w:p w:rsidR="00F902DD" w:rsidRDefault="00F902DD" w:rsidP="00BA14EB">
      <w:pPr>
        <w:tabs>
          <w:tab w:val="left" w:pos="5670"/>
        </w:tabs>
        <w:jc w:val="both"/>
        <w:rPr>
          <w:rFonts w:ascii="Arial" w:hAnsi="Arial" w:cs="Arial"/>
        </w:rPr>
      </w:pPr>
    </w:p>
    <w:p w:rsidR="00BA14EB" w:rsidRPr="006003DF" w:rsidRDefault="00BA14EB" w:rsidP="00BA14EB">
      <w:pPr>
        <w:tabs>
          <w:tab w:val="left" w:pos="2268"/>
        </w:tabs>
        <w:rPr>
          <w:rFonts w:ascii="Arial" w:hAnsi="Arial" w:cs="Arial"/>
          <w:color w:val="000000" w:themeColor="text1"/>
        </w:rPr>
      </w:pPr>
      <w:r w:rsidRPr="006003DF">
        <w:rPr>
          <w:rFonts w:ascii="Arial" w:hAnsi="Arial" w:cs="Arial"/>
          <w:color w:val="000000" w:themeColor="text1"/>
        </w:rPr>
        <w:t>Date:</w:t>
      </w:r>
      <w:r w:rsidRPr="006003DF">
        <w:rPr>
          <w:rFonts w:ascii="Arial" w:hAnsi="Arial" w:cs="Arial"/>
          <w:color w:val="000000" w:themeColor="text1"/>
        </w:rPr>
        <w:tab/>
      </w:r>
      <w:r>
        <w:rPr>
          <w:rFonts w:ascii="Arial" w:hAnsi="Arial" w:cs="Arial"/>
          <w:color w:val="000000" w:themeColor="text1"/>
        </w:rPr>
        <w:t>14</w:t>
      </w:r>
      <w:r w:rsidRPr="00CD4623">
        <w:rPr>
          <w:rFonts w:ascii="Arial" w:hAnsi="Arial" w:cs="Arial"/>
          <w:color w:val="000000" w:themeColor="text1"/>
          <w:vertAlign w:val="superscript"/>
        </w:rPr>
        <w:t>th</w:t>
      </w:r>
      <w:r>
        <w:rPr>
          <w:rFonts w:ascii="Arial" w:hAnsi="Arial" w:cs="Arial"/>
          <w:color w:val="000000" w:themeColor="text1"/>
        </w:rPr>
        <w:t xml:space="preserve"> March 2013</w:t>
      </w:r>
      <w:r w:rsidRPr="006003DF">
        <w:rPr>
          <w:rFonts w:ascii="Arial" w:hAnsi="Arial" w:cs="Arial"/>
          <w:color w:val="000000" w:themeColor="text1"/>
        </w:rPr>
        <w:tab/>
      </w:r>
    </w:p>
    <w:p w:rsidR="00BA14EB" w:rsidRDefault="00BA14EB" w:rsidP="00BA14EB">
      <w:pPr>
        <w:tabs>
          <w:tab w:val="left" w:pos="5670"/>
        </w:tabs>
        <w:jc w:val="both"/>
        <w:rPr>
          <w:rFonts w:ascii="Arial" w:eastAsiaTheme="minorHAnsi" w:hAnsi="Arial" w:cs="Arial"/>
        </w:rPr>
      </w:pPr>
      <w:r w:rsidRPr="006003DF">
        <w:rPr>
          <w:rFonts w:ascii="Arial" w:hAnsi="Arial" w:cs="Arial"/>
          <w:color w:val="000000" w:themeColor="text1"/>
        </w:rPr>
        <w:t>Title of Document:</w:t>
      </w:r>
      <w:r>
        <w:rPr>
          <w:rFonts w:ascii="Arial" w:hAnsi="Arial" w:cs="Arial"/>
          <w:color w:val="000000" w:themeColor="text1"/>
        </w:rPr>
        <w:t xml:space="preserve">     </w:t>
      </w:r>
      <w:r w:rsidRPr="00CD4623">
        <w:rPr>
          <w:rFonts w:ascii="Arial" w:eastAsiaTheme="minorHAnsi" w:hAnsi="Arial" w:cs="Arial"/>
        </w:rPr>
        <w:t>Adopted Core Spatial Strateg</w:t>
      </w:r>
      <w:r>
        <w:rPr>
          <w:rFonts w:ascii="Arial" w:eastAsiaTheme="minorHAnsi" w:hAnsi="Arial" w:cs="Arial"/>
        </w:rPr>
        <w:t xml:space="preserve">y – Item 5 - assessment of </w:t>
      </w:r>
    </w:p>
    <w:p w:rsidR="00BA14EB" w:rsidRPr="00CD4623" w:rsidRDefault="00BA14EB" w:rsidP="00BA14EB">
      <w:pPr>
        <w:tabs>
          <w:tab w:val="left" w:pos="5670"/>
        </w:tabs>
        <w:ind w:left="2268"/>
        <w:jc w:val="both"/>
        <w:rPr>
          <w:rFonts w:ascii="Arial" w:eastAsiaTheme="minorHAnsi" w:hAnsi="Arial" w:cs="Arial"/>
        </w:rPr>
      </w:pPr>
      <w:r>
        <w:rPr>
          <w:rFonts w:ascii="Arial" w:eastAsiaTheme="minorHAnsi" w:hAnsi="Arial" w:cs="Arial"/>
        </w:rPr>
        <w:t xml:space="preserve">Compatibility </w:t>
      </w:r>
      <w:r w:rsidRPr="00CD4623">
        <w:rPr>
          <w:rFonts w:ascii="Arial" w:eastAsiaTheme="minorHAnsi" w:hAnsi="Arial" w:cs="Arial"/>
        </w:rPr>
        <w:t>with National Planning Policy Framework</w:t>
      </w:r>
    </w:p>
    <w:p w:rsidR="00934CAB" w:rsidRDefault="00934CAB" w:rsidP="00BA14EB">
      <w:pPr>
        <w:tabs>
          <w:tab w:val="left" w:pos="5670"/>
        </w:tabs>
        <w:jc w:val="both"/>
        <w:rPr>
          <w:rFonts w:ascii="Arial" w:hAnsi="Arial" w:cs="Arial"/>
        </w:rPr>
      </w:pPr>
    </w:p>
    <w:p w:rsidR="00934CAB" w:rsidRPr="006003DF" w:rsidRDefault="00934CAB" w:rsidP="00934CAB">
      <w:pPr>
        <w:tabs>
          <w:tab w:val="left" w:pos="2268"/>
        </w:tabs>
        <w:rPr>
          <w:rFonts w:ascii="Arial" w:hAnsi="Arial" w:cs="Arial"/>
          <w:color w:val="000000" w:themeColor="text1"/>
        </w:rPr>
      </w:pPr>
      <w:r w:rsidRPr="006003DF">
        <w:rPr>
          <w:rFonts w:ascii="Arial" w:hAnsi="Arial" w:cs="Arial"/>
          <w:color w:val="000000" w:themeColor="text1"/>
        </w:rPr>
        <w:t>Date:</w:t>
      </w:r>
      <w:r w:rsidRPr="006003DF">
        <w:rPr>
          <w:rFonts w:ascii="Arial" w:hAnsi="Arial" w:cs="Arial"/>
          <w:color w:val="000000" w:themeColor="text1"/>
        </w:rPr>
        <w:tab/>
      </w:r>
      <w:r>
        <w:rPr>
          <w:rFonts w:ascii="Arial" w:hAnsi="Arial" w:cs="Arial"/>
          <w:color w:val="000000" w:themeColor="text1"/>
        </w:rPr>
        <w:t>4</w:t>
      </w:r>
      <w:r w:rsidRPr="00CD4623">
        <w:rPr>
          <w:rFonts w:ascii="Arial" w:hAnsi="Arial" w:cs="Arial"/>
          <w:color w:val="000000" w:themeColor="text1"/>
          <w:vertAlign w:val="superscript"/>
        </w:rPr>
        <w:t>th</w:t>
      </w:r>
      <w:r>
        <w:rPr>
          <w:rFonts w:ascii="Arial" w:hAnsi="Arial" w:cs="Arial"/>
          <w:color w:val="000000" w:themeColor="text1"/>
        </w:rPr>
        <w:t xml:space="preserve"> September 2012</w:t>
      </w:r>
      <w:r w:rsidRPr="006003DF">
        <w:rPr>
          <w:rFonts w:ascii="Arial" w:hAnsi="Arial" w:cs="Arial"/>
          <w:color w:val="000000" w:themeColor="text1"/>
        </w:rPr>
        <w:tab/>
      </w:r>
    </w:p>
    <w:p w:rsidR="00934CAB" w:rsidRPr="00CD4623" w:rsidRDefault="00934CAB" w:rsidP="00934CAB">
      <w:pPr>
        <w:tabs>
          <w:tab w:val="left" w:pos="5670"/>
        </w:tabs>
        <w:jc w:val="both"/>
        <w:rPr>
          <w:rFonts w:ascii="Arial" w:eastAsiaTheme="minorHAnsi" w:hAnsi="Arial" w:cs="Arial"/>
        </w:rPr>
      </w:pPr>
      <w:r w:rsidRPr="006003DF">
        <w:rPr>
          <w:rFonts w:ascii="Arial" w:hAnsi="Arial" w:cs="Arial"/>
          <w:color w:val="000000" w:themeColor="text1"/>
        </w:rPr>
        <w:t>Title of Document:</w:t>
      </w:r>
      <w:r>
        <w:rPr>
          <w:rFonts w:ascii="Arial" w:hAnsi="Arial" w:cs="Arial"/>
          <w:color w:val="000000" w:themeColor="text1"/>
        </w:rPr>
        <w:t xml:space="preserve">     </w:t>
      </w:r>
      <w:r w:rsidRPr="006003DF">
        <w:rPr>
          <w:rFonts w:ascii="Arial" w:hAnsi="Arial" w:cs="Arial"/>
          <w:color w:val="000000" w:themeColor="text1"/>
        </w:rPr>
        <w:t xml:space="preserve">Site Specific Proposals LDD </w:t>
      </w:r>
      <w:r>
        <w:rPr>
          <w:rFonts w:ascii="Arial" w:eastAsiaTheme="minorHAnsi" w:hAnsi="Arial" w:cs="Arial"/>
        </w:rPr>
        <w:t>– Item 7 – Options Consultation.</w:t>
      </w:r>
    </w:p>
    <w:p w:rsidR="00BA14EB" w:rsidRPr="003518C1" w:rsidRDefault="00BA14EB" w:rsidP="00BA14EB">
      <w:pPr>
        <w:tabs>
          <w:tab w:val="left" w:pos="5670"/>
        </w:tabs>
        <w:jc w:val="both"/>
        <w:rPr>
          <w:rFonts w:ascii="Arial" w:hAnsi="Arial" w:cs="Arial"/>
        </w:rPr>
      </w:pPr>
      <w:r w:rsidRPr="003518C1">
        <w:rPr>
          <w:rFonts w:ascii="Arial" w:hAnsi="Arial" w:cs="Arial"/>
        </w:rPr>
        <w:tab/>
      </w:r>
    </w:p>
    <w:p w:rsidR="00BA14EB" w:rsidRPr="006003DF" w:rsidRDefault="00BA14EB" w:rsidP="00BA14EB">
      <w:pPr>
        <w:tabs>
          <w:tab w:val="left" w:pos="2268"/>
        </w:tabs>
        <w:rPr>
          <w:rFonts w:ascii="Arial" w:hAnsi="Arial" w:cs="Arial"/>
          <w:color w:val="000000" w:themeColor="text1"/>
        </w:rPr>
      </w:pPr>
      <w:r w:rsidRPr="006003DF">
        <w:rPr>
          <w:rFonts w:ascii="Arial" w:hAnsi="Arial" w:cs="Arial"/>
          <w:color w:val="000000" w:themeColor="text1"/>
        </w:rPr>
        <w:t>Date:</w:t>
      </w:r>
      <w:r w:rsidRPr="006003DF">
        <w:rPr>
          <w:rFonts w:ascii="Arial" w:hAnsi="Arial" w:cs="Arial"/>
          <w:color w:val="000000" w:themeColor="text1"/>
        </w:rPr>
        <w:tab/>
        <w:t>February 2012</w:t>
      </w:r>
      <w:r w:rsidRPr="006003DF">
        <w:rPr>
          <w:rFonts w:ascii="Arial" w:hAnsi="Arial" w:cs="Arial"/>
          <w:color w:val="000000" w:themeColor="text1"/>
        </w:rPr>
        <w:tab/>
      </w:r>
    </w:p>
    <w:p w:rsidR="00BA14EB" w:rsidRDefault="00BA14EB" w:rsidP="00BA14EB">
      <w:pPr>
        <w:tabs>
          <w:tab w:val="left" w:pos="2268"/>
        </w:tabs>
        <w:ind w:left="2268" w:hanging="2268"/>
        <w:rPr>
          <w:rFonts w:ascii="Arial" w:hAnsi="Arial" w:cs="Arial"/>
          <w:color w:val="000000" w:themeColor="text1"/>
        </w:rPr>
      </w:pPr>
      <w:r w:rsidRPr="006003DF">
        <w:rPr>
          <w:rFonts w:ascii="Arial" w:hAnsi="Arial" w:cs="Arial"/>
          <w:color w:val="000000" w:themeColor="text1"/>
        </w:rPr>
        <w:t>Title of Document:</w:t>
      </w:r>
      <w:r w:rsidRPr="006003DF">
        <w:rPr>
          <w:rFonts w:ascii="Arial" w:hAnsi="Arial" w:cs="Arial"/>
          <w:color w:val="000000" w:themeColor="text1"/>
        </w:rPr>
        <w:tab/>
        <w:t>Site Specific Proposals LDD – Background Paper: Settlement Boundaries</w:t>
      </w:r>
    </w:p>
    <w:p w:rsidR="00BA14EB" w:rsidRDefault="00BA14EB" w:rsidP="00BA14EB">
      <w:pPr>
        <w:tabs>
          <w:tab w:val="left" w:pos="2268"/>
        </w:tabs>
        <w:ind w:left="2268" w:hanging="2268"/>
        <w:rPr>
          <w:rFonts w:ascii="Arial" w:hAnsi="Arial" w:cs="Arial"/>
          <w:color w:val="000000" w:themeColor="text1"/>
        </w:rPr>
      </w:pPr>
    </w:p>
    <w:p w:rsidR="00BA14EB" w:rsidRPr="006003DF" w:rsidRDefault="00BA14EB" w:rsidP="00BA14EB">
      <w:pPr>
        <w:tabs>
          <w:tab w:val="left" w:pos="2268"/>
        </w:tabs>
        <w:rPr>
          <w:rFonts w:ascii="Arial" w:hAnsi="Arial" w:cs="Arial"/>
          <w:color w:val="000000" w:themeColor="text1"/>
        </w:rPr>
      </w:pPr>
      <w:r w:rsidRPr="006003DF">
        <w:rPr>
          <w:rFonts w:ascii="Arial" w:hAnsi="Arial" w:cs="Arial"/>
          <w:color w:val="000000" w:themeColor="text1"/>
        </w:rPr>
        <w:t>Date:</w:t>
      </w:r>
      <w:r w:rsidRPr="006003DF">
        <w:rPr>
          <w:rFonts w:ascii="Arial" w:hAnsi="Arial" w:cs="Arial"/>
          <w:color w:val="000000" w:themeColor="text1"/>
        </w:rPr>
        <w:tab/>
      </w:r>
      <w:r>
        <w:rPr>
          <w:rFonts w:ascii="Arial" w:hAnsi="Arial" w:cs="Arial"/>
          <w:color w:val="000000" w:themeColor="text1"/>
        </w:rPr>
        <w:t>22</w:t>
      </w:r>
      <w:r w:rsidRPr="006003DF">
        <w:rPr>
          <w:rFonts w:ascii="Arial" w:hAnsi="Arial" w:cs="Arial"/>
          <w:color w:val="000000" w:themeColor="text1"/>
          <w:vertAlign w:val="superscript"/>
        </w:rPr>
        <w:t>nd</w:t>
      </w:r>
      <w:r>
        <w:rPr>
          <w:rFonts w:ascii="Arial" w:hAnsi="Arial" w:cs="Arial"/>
          <w:color w:val="000000" w:themeColor="text1"/>
        </w:rPr>
        <w:t xml:space="preserve"> </w:t>
      </w:r>
      <w:r w:rsidRPr="006003DF">
        <w:rPr>
          <w:rFonts w:ascii="Arial" w:hAnsi="Arial" w:cs="Arial"/>
          <w:color w:val="000000" w:themeColor="text1"/>
        </w:rPr>
        <w:t>February 2012</w:t>
      </w:r>
      <w:r w:rsidRPr="006003DF">
        <w:rPr>
          <w:rFonts w:ascii="Arial" w:hAnsi="Arial" w:cs="Arial"/>
          <w:color w:val="000000" w:themeColor="text1"/>
        </w:rPr>
        <w:tab/>
      </w:r>
    </w:p>
    <w:p w:rsidR="00BA14EB" w:rsidRPr="006003DF" w:rsidRDefault="00BA14EB" w:rsidP="00BA14EB">
      <w:pPr>
        <w:tabs>
          <w:tab w:val="left" w:pos="2268"/>
        </w:tabs>
        <w:ind w:left="2268" w:hanging="2268"/>
        <w:rPr>
          <w:rFonts w:ascii="Arial" w:hAnsi="Arial" w:cs="Arial"/>
          <w:color w:val="000000" w:themeColor="text1"/>
        </w:rPr>
      </w:pPr>
      <w:r w:rsidRPr="006003DF">
        <w:rPr>
          <w:rFonts w:ascii="Arial" w:hAnsi="Arial" w:cs="Arial"/>
          <w:color w:val="000000" w:themeColor="text1"/>
        </w:rPr>
        <w:t>Title of Document:</w:t>
      </w:r>
      <w:r w:rsidRPr="006003DF">
        <w:rPr>
          <w:rFonts w:ascii="Arial" w:hAnsi="Arial" w:cs="Arial"/>
          <w:color w:val="000000" w:themeColor="text1"/>
        </w:rPr>
        <w:tab/>
        <w:t xml:space="preserve">Site Specific Proposals LDD – </w:t>
      </w:r>
      <w:r w:rsidR="00934CAB">
        <w:rPr>
          <w:rFonts w:ascii="Arial" w:hAnsi="Arial" w:cs="Arial"/>
          <w:color w:val="000000" w:themeColor="text1"/>
        </w:rPr>
        <w:t xml:space="preserve">Item 6 - </w:t>
      </w:r>
      <w:r>
        <w:rPr>
          <w:rFonts w:ascii="Arial" w:hAnsi="Arial" w:cs="Arial"/>
          <w:color w:val="000000" w:themeColor="text1"/>
        </w:rPr>
        <w:t>Options Paper Consultation</w:t>
      </w:r>
    </w:p>
    <w:p w:rsidR="00BA14EB" w:rsidRDefault="00BA14EB" w:rsidP="00BA14EB">
      <w:pPr>
        <w:tabs>
          <w:tab w:val="left" w:pos="2268"/>
        </w:tabs>
        <w:rPr>
          <w:rFonts w:ascii="Arial" w:hAnsi="Arial" w:cs="Arial"/>
        </w:rPr>
      </w:pPr>
    </w:p>
    <w:p w:rsidR="00BA14EB" w:rsidRPr="003518C1" w:rsidRDefault="00BA14EB" w:rsidP="00BA14EB">
      <w:pPr>
        <w:tabs>
          <w:tab w:val="left" w:pos="2268"/>
        </w:tabs>
        <w:rPr>
          <w:rFonts w:ascii="Arial" w:hAnsi="Arial" w:cs="Arial"/>
        </w:rPr>
      </w:pPr>
      <w:r w:rsidRPr="003518C1">
        <w:rPr>
          <w:rFonts w:ascii="Arial" w:hAnsi="Arial" w:cs="Arial"/>
        </w:rPr>
        <w:t>Date:</w:t>
      </w:r>
      <w:r w:rsidRPr="003518C1">
        <w:rPr>
          <w:rFonts w:ascii="Arial" w:hAnsi="Arial" w:cs="Arial"/>
        </w:rPr>
        <w:tab/>
      </w:r>
      <w:r>
        <w:rPr>
          <w:rFonts w:ascii="Arial" w:hAnsi="Arial" w:cs="Arial"/>
        </w:rPr>
        <w:t>4</w:t>
      </w:r>
      <w:r w:rsidRPr="006003DF">
        <w:rPr>
          <w:rFonts w:ascii="Arial" w:hAnsi="Arial" w:cs="Arial"/>
          <w:vertAlign w:val="superscript"/>
        </w:rPr>
        <w:t>th</w:t>
      </w:r>
      <w:r>
        <w:rPr>
          <w:rFonts w:ascii="Arial" w:hAnsi="Arial" w:cs="Arial"/>
        </w:rPr>
        <w:t xml:space="preserve"> October 2011</w:t>
      </w:r>
    </w:p>
    <w:p w:rsidR="00BA14EB" w:rsidRDefault="00BA14EB" w:rsidP="00BA14EB">
      <w:pPr>
        <w:tabs>
          <w:tab w:val="left" w:pos="2268"/>
        </w:tabs>
        <w:ind w:left="2268" w:hanging="2268"/>
        <w:rPr>
          <w:rFonts w:ascii="Arial" w:hAnsi="Arial" w:cs="Arial"/>
        </w:rPr>
      </w:pPr>
      <w:r w:rsidRPr="003518C1">
        <w:rPr>
          <w:rFonts w:ascii="Arial" w:hAnsi="Arial" w:cs="Arial"/>
        </w:rPr>
        <w:t>Title of Document:</w:t>
      </w:r>
      <w:r w:rsidRPr="003518C1">
        <w:rPr>
          <w:rFonts w:ascii="Arial" w:hAnsi="Arial" w:cs="Arial"/>
        </w:rPr>
        <w:tab/>
        <w:t>Planning Policy Committee – Item</w:t>
      </w:r>
      <w:r>
        <w:rPr>
          <w:rFonts w:ascii="Arial" w:hAnsi="Arial" w:cs="Arial"/>
        </w:rPr>
        <w:t xml:space="preserve"> 7 </w:t>
      </w:r>
      <w:r w:rsidR="00934CAB">
        <w:rPr>
          <w:rFonts w:ascii="Arial" w:hAnsi="Arial" w:cs="Arial"/>
        </w:rPr>
        <w:t xml:space="preserve">- </w:t>
      </w:r>
      <w:r>
        <w:rPr>
          <w:rFonts w:ascii="Arial" w:hAnsi="Arial" w:cs="Arial"/>
        </w:rPr>
        <w:t>Site Specific Proposals LDD – Background Papers and Consultation on Options</w:t>
      </w:r>
    </w:p>
    <w:p w:rsidR="00BA14EB" w:rsidRDefault="00BA14EB" w:rsidP="00BA14EB">
      <w:pPr>
        <w:tabs>
          <w:tab w:val="left" w:pos="2268"/>
        </w:tabs>
        <w:ind w:left="2268" w:hanging="2268"/>
        <w:rPr>
          <w:rFonts w:ascii="Arial" w:hAnsi="Arial" w:cs="Arial"/>
        </w:rPr>
      </w:pPr>
    </w:p>
    <w:p w:rsidR="00BA14EB" w:rsidRPr="003518C1" w:rsidRDefault="00BA14EB" w:rsidP="00BA14EB">
      <w:pPr>
        <w:tabs>
          <w:tab w:val="left" w:pos="2268"/>
        </w:tabs>
        <w:rPr>
          <w:rFonts w:ascii="Arial" w:hAnsi="Arial" w:cs="Arial"/>
        </w:rPr>
      </w:pPr>
      <w:r w:rsidRPr="003518C1">
        <w:rPr>
          <w:rFonts w:ascii="Arial" w:hAnsi="Arial" w:cs="Arial"/>
        </w:rPr>
        <w:t>Date:</w:t>
      </w:r>
      <w:r w:rsidRPr="003518C1">
        <w:rPr>
          <w:rFonts w:ascii="Arial" w:hAnsi="Arial" w:cs="Arial"/>
        </w:rPr>
        <w:tab/>
      </w:r>
      <w:r>
        <w:rPr>
          <w:rFonts w:ascii="Arial" w:hAnsi="Arial" w:cs="Arial"/>
        </w:rPr>
        <w:t>1</w:t>
      </w:r>
      <w:r w:rsidRPr="006003DF">
        <w:rPr>
          <w:rFonts w:ascii="Arial" w:hAnsi="Arial" w:cs="Arial"/>
          <w:vertAlign w:val="superscript"/>
        </w:rPr>
        <w:t>st</w:t>
      </w:r>
      <w:r>
        <w:rPr>
          <w:rFonts w:ascii="Arial" w:hAnsi="Arial" w:cs="Arial"/>
        </w:rPr>
        <w:t xml:space="preserve"> September 2009</w:t>
      </w:r>
    </w:p>
    <w:p w:rsidR="00BA14EB" w:rsidRDefault="00BA14EB" w:rsidP="00BA14EB">
      <w:pPr>
        <w:tabs>
          <w:tab w:val="left" w:pos="2268"/>
        </w:tabs>
        <w:ind w:left="2268" w:hanging="2268"/>
        <w:rPr>
          <w:rFonts w:ascii="Arial" w:hAnsi="Arial" w:cs="Arial"/>
        </w:rPr>
      </w:pPr>
      <w:r w:rsidRPr="003518C1">
        <w:rPr>
          <w:rFonts w:ascii="Arial" w:hAnsi="Arial" w:cs="Arial"/>
        </w:rPr>
        <w:t>Title of Document:</w:t>
      </w:r>
      <w:r w:rsidRPr="003518C1">
        <w:rPr>
          <w:rFonts w:ascii="Arial" w:hAnsi="Arial" w:cs="Arial"/>
        </w:rPr>
        <w:tab/>
        <w:t>Planning Policy Committee – Item</w:t>
      </w:r>
      <w:r>
        <w:rPr>
          <w:rFonts w:ascii="Arial" w:hAnsi="Arial" w:cs="Arial"/>
        </w:rPr>
        <w:t xml:space="preserve"> 7 Site Specific Proposals LDD – Issues Paper</w:t>
      </w:r>
    </w:p>
    <w:p w:rsidR="00F902DD" w:rsidRDefault="00F902DD" w:rsidP="00BA14EB">
      <w:pPr>
        <w:tabs>
          <w:tab w:val="left" w:pos="5670"/>
        </w:tabs>
        <w:rPr>
          <w:rFonts w:ascii="Arial" w:hAnsi="Arial" w:cs="Arial"/>
        </w:rPr>
      </w:pPr>
    </w:p>
    <w:p w:rsidR="00BA14EB" w:rsidRDefault="00BA14EB" w:rsidP="00BA14EB">
      <w:pPr>
        <w:tabs>
          <w:tab w:val="left" w:pos="5670"/>
        </w:tabs>
        <w:rPr>
          <w:rFonts w:ascii="Arial" w:hAnsi="Arial" w:cs="Arial"/>
        </w:rPr>
      </w:pPr>
      <w:r>
        <w:rPr>
          <w:rFonts w:ascii="Arial" w:hAnsi="Arial" w:cs="Arial"/>
        </w:rPr>
        <w:t>Contact Officer:  Mark Coleman – Development Officer</w:t>
      </w:r>
    </w:p>
    <w:p w:rsidR="00BA14EB" w:rsidRDefault="00BA14EB" w:rsidP="00BA14EB">
      <w:pPr>
        <w:tabs>
          <w:tab w:val="left" w:pos="2268"/>
        </w:tabs>
        <w:ind w:left="2268" w:hanging="2268"/>
        <w:rPr>
          <w:rFonts w:ascii="Arial" w:hAnsi="Arial" w:cs="Arial"/>
        </w:rPr>
      </w:pPr>
    </w:p>
    <w:p w:rsidR="00BA14EB" w:rsidRDefault="00BA14EB" w:rsidP="00BA14EB">
      <w:pPr>
        <w:tabs>
          <w:tab w:val="left" w:pos="2268"/>
        </w:tabs>
        <w:ind w:left="2268" w:hanging="2268"/>
        <w:rPr>
          <w:rFonts w:ascii="Arial" w:hAnsi="Arial" w:cs="Arial"/>
        </w:rPr>
      </w:pPr>
    </w:p>
    <w:sectPr w:rsidR="00BA14EB" w:rsidSect="00355AD1">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D1" w:rsidRDefault="00355AD1" w:rsidP="00355AD1">
      <w:r>
        <w:separator/>
      </w:r>
    </w:p>
  </w:endnote>
  <w:endnote w:type="continuationSeparator" w:id="0">
    <w:p w:rsidR="00355AD1" w:rsidRDefault="00355AD1" w:rsidP="0035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D1" w:rsidRDefault="00355AD1" w:rsidP="00355AD1">
      <w:r>
        <w:separator/>
      </w:r>
    </w:p>
  </w:footnote>
  <w:footnote w:type="continuationSeparator" w:id="0">
    <w:p w:rsidR="00355AD1" w:rsidRDefault="00355AD1" w:rsidP="00355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526"/>
      <w:gridCol w:w="5386"/>
      <w:gridCol w:w="1276"/>
      <w:gridCol w:w="992"/>
    </w:tblGrid>
    <w:tr w:rsidR="00355AD1" w:rsidTr="00584D44">
      <w:tblPrEx>
        <w:tblCellMar>
          <w:top w:w="0" w:type="dxa"/>
          <w:bottom w:w="0" w:type="dxa"/>
        </w:tblCellMar>
      </w:tblPrEx>
      <w:trPr>
        <w:cantSplit/>
      </w:trPr>
      <w:tc>
        <w:tcPr>
          <w:tcW w:w="9180" w:type="dxa"/>
          <w:gridSpan w:val="4"/>
        </w:tcPr>
        <w:p w:rsidR="00355AD1" w:rsidRDefault="00355AD1" w:rsidP="00584D44">
          <w:pPr>
            <w:pStyle w:val="Header"/>
            <w:jc w:val="center"/>
            <w:rPr>
              <w:b/>
              <w:sz w:val="24"/>
            </w:rPr>
          </w:pPr>
          <w:r>
            <w:rPr>
              <w:b/>
              <w:sz w:val="24"/>
            </w:rPr>
            <w:t>B O R O U G H   O F   K E T T E R I N G</w:t>
          </w:r>
        </w:p>
        <w:p w:rsidR="00355AD1" w:rsidRDefault="00355AD1" w:rsidP="00584D44">
          <w:pPr>
            <w:pStyle w:val="Header"/>
            <w:jc w:val="center"/>
            <w:rPr>
              <w:b/>
              <w:sz w:val="24"/>
            </w:rPr>
          </w:pPr>
        </w:p>
      </w:tc>
    </w:tr>
    <w:tr w:rsidR="00355AD1" w:rsidTr="00584D44">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rsidR="00355AD1" w:rsidRDefault="00355AD1" w:rsidP="00584D44">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355AD1" w:rsidRDefault="00355AD1" w:rsidP="00584D44">
          <w:pPr>
            <w:pStyle w:val="Header"/>
            <w:spacing w:before="120"/>
            <w:rPr>
              <w:rFonts w:ascii="Arial Black" w:hAnsi="Arial Black"/>
              <w:b/>
              <w:sz w:val="24"/>
            </w:rPr>
          </w:pPr>
          <w:r>
            <w:rPr>
              <w:rFonts w:ascii="Arial Black" w:hAnsi="Arial Black"/>
              <w:b/>
              <w:sz w:val="24"/>
            </w:rPr>
            <w:t xml:space="preserve">PLANNING POLICY </w:t>
          </w:r>
        </w:p>
        <w:p w:rsidR="00355AD1" w:rsidRDefault="00355AD1" w:rsidP="00584D44">
          <w:pPr>
            <w:pStyle w:val="Header"/>
            <w:rPr>
              <w:b/>
            </w:rPr>
          </w:pPr>
        </w:p>
      </w:tc>
      <w:tc>
        <w:tcPr>
          <w:tcW w:w="1276" w:type="dxa"/>
          <w:tcBorders>
            <w:top w:val="single" w:sz="4" w:space="0" w:color="auto"/>
            <w:left w:val="single" w:sz="4" w:space="0" w:color="auto"/>
            <w:bottom w:val="single" w:sz="4" w:space="0" w:color="auto"/>
            <w:right w:val="single" w:sz="4" w:space="0" w:color="auto"/>
          </w:tcBorders>
        </w:tcPr>
        <w:p w:rsidR="00355AD1" w:rsidRDefault="00355AD1" w:rsidP="00584D44">
          <w:pPr>
            <w:pStyle w:val="Header"/>
            <w:jc w:val="center"/>
            <w:rPr>
              <w:sz w:val="24"/>
            </w:rPr>
          </w:pPr>
          <w:r>
            <w:rPr>
              <w:sz w:val="24"/>
            </w:rPr>
            <w:t xml:space="preserve">Item </w:t>
          </w:r>
        </w:p>
        <w:p w:rsidR="00355AD1" w:rsidRDefault="00355AD1" w:rsidP="00584D44">
          <w:pPr>
            <w:pStyle w:val="Header"/>
            <w:jc w:val="center"/>
            <w:rPr>
              <w:sz w:val="24"/>
            </w:rPr>
          </w:pPr>
          <w:r>
            <w:rPr>
              <w:sz w:val="24"/>
            </w:rPr>
            <w:t>7</w:t>
          </w:r>
        </w:p>
      </w:tc>
      <w:tc>
        <w:tcPr>
          <w:tcW w:w="992" w:type="dxa"/>
          <w:tcBorders>
            <w:top w:val="single" w:sz="4" w:space="0" w:color="auto"/>
            <w:left w:val="single" w:sz="4" w:space="0" w:color="auto"/>
            <w:bottom w:val="single" w:sz="4" w:space="0" w:color="auto"/>
            <w:right w:val="single" w:sz="4" w:space="0" w:color="auto"/>
          </w:tcBorders>
        </w:tcPr>
        <w:p w:rsidR="00355AD1" w:rsidRPr="00DB1F37" w:rsidRDefault="00355AD1" w:rsidP="00584D44">
          <w:pPr>
            <w:pStyle w:val="Header"/>
            <w:jc w:val="center"/>
            <w:rPr>
              <w:sz w:val="24"/>
              <w:szCs w:val="24"/>
            </w:rPr>
          </w:pPr>
          <w:r w:rsidRPr="00DB1F37">
            <w:rPr>
              <w:snapToGrid w:val="0"/>
              <w:sz w:val="24"/>
              <w:szCs w:val="24"/>
            </w:rPr>
            <w:t xml:space="preserve">Page </w:t>
          </w:r>
          <w:r w:rsidRPr="00DB1F37">
            <w:rPr>
              <w:rStyle w:val="PageNumber"/>
              <w:sz w:val="24"/>
              <w:szCs w:val="24"/>
            </w:rPr>
            <w:fldChar w:fldCharType="begin"/>
          </w:r>
          <w:r w:rsidRPr="00DB1F37">
            <w:rPr>
              <w:rStyle w:val="PageNumber"/>
              <w:sz w:val="24"/>
              <w:szCs w:val="24"/>
            </w:rPr>
            <w:instrText xml:space="preserve"> PAGE </w:instrText>
          </w:r>
          <w:r w:rsidRPr="00DB1F37">
            <w:rPr>
              <w:rStyle w:val="PageNumber"/>
              <w:sz w:val="24"/>
              <w:szCs w:val="24"/>
            </w:rPr>
            <w:fldChar w:fldCharType="separate"/>
          </w:r>
          <w:r>
            <w:rPr>
              <w:rStyle w:val="PageNumber"/>
              <w:noProof/>
              <w:sz w:val="24"/>
              <w:szCs w:val="24"/>
            </w:rPr>
            <w:t>6</w:t>
          </w:r>
          <w:r w:rsidRPr="00DB1F37">
            <w:rPr>
              <w:rStyle w:val="PageNumber"/>
              <w:sz w:val="24"/>
              <w:szCs w:val="24"/>
            </w:rPr>
            <w:fldChar w:fldCharType="end"/>
          </w:r>
        </w:p>
      </w:tc>
    </w:tr>
  </w:tbl>
  <w:p w:rsidR="00355AD1" w:rsidRDefault="00355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526"/>
      <w:gridCol w:w="5103"/>
      <w:gridCol w:w="1559"/>
      <w:gridCol w:w="992"/>
    </w:tblGrid>
    <w:tr w:rsidR="00355AD1" w:rsidTr="00584D44">
      <w:trPr>
        <w:cantSplit/>
      </w:trPr>
      <w:tc>
        <w:tcPr>
          <w:tcW w:w="9180" w:type="dxa"/>
          <w:gridSpan w:val="4"/>
        </w:tcPr>
        <w:p w:rsidR="00355AD1" w:rsidRDefault="00355AD1" w:rsidP="00584D44">
          <w:pPr>
            <w:pStyle w:val="Header"/>
            <w:jc w:val="center"/>
            <w:rPr>
              <w:b/>
              <w:sz w:val="24"/>
            </w:rPr>
          </w:pPr>
          <w:r>
            <w:rPr>
              <w:b/>
              <w:sz w:val="24"/>
            </w:rPr>
            <w:t>B O R O U G H   O F  K E T T E R I N G</w:t>
          </w:r>
        </w:p>
        <w:p w:rsidR="00355AD1" w:rsidRDefault="00355AD1" w:rsidP="00584D44">
          <w:pPr>
            <w:pStyle w:val="Header"/>
            <w:jc w:val="center"/>
            <w:rPr>
              <w:b/>
              <w:sz w:val="24"/>
            </w:rPr>
          </w:pPr>
        </w:p>
      </w:tc>
    </w:tr>
    <w:tr w:rsidR="00355AD1" w:rsidTr="00584D44">
      <w:tc>
        <w:tcPr>
          <w:tcW w:w="1526" w:type="dxa"/>
          <w:tcBorders>
            <w:top w:val="single" w:sz="4" w:space="0" w:color="auto"/>
            <w:left w:val="single" w:sz="4" w:space="0" w:color="auto"/>
            <w:bottom w:val="single" w:sz="4" w:space="0" w:color="auto"/>
            <w:right w:val="single" w:sz="4" w:space="0" w:color="auto"/>
          </w:tcBorders>
        </w:tcPr>
        <w:p w:rsidR="00355AD1" w:rsidRDefault="00355AD1" w:rsidP="00584D44">
          <w:pPr>
            <w:pStyle w:val="Header"/>
            <w:spacing w:before="120"/>
            <w:rPr>
              <w:b/>
              <w:sz w:val="24"/>
            </w:rPr>
          </w:pPr>
          <w:r>
            <w:rPr>
              <w:b/>
              <w:sz w:val="24"/>
            </w:rPr>
            <w:t>Committee</w:t>
          </w:r>
        </w:p>
      </w:tc>
      <w:tc>
        <w:tcPr>
          <w:tcW w:w="5103" w:type="dxa"/>
          <w:tcBorders>
            <w:top w:val="single" w:sz="4" w:space="0" w:color="auto"/>
            <w:left w:val="single" w:sz="4" w:space="0" w:color="auto"/>
            <w:bottom w:val="single" w:sz="4" w:space="0" w:color="auto"/>
            <w:right w:val="single" w:sz="4" w:space="0" w:color="auto"/>
          </w:tcBorders>
        </w:tcPr>
        <w:p w:rsidR="00355AD1" w:rsidRDefault="00355AD1" w:rsidP="00584D44">
          <w:pPr>
            <w:pStyle w:val="Header"/>
            <w:spacing w:before="120"/>
            <w:rPr>
              <w:rFonts w:ascii="Arial Black" w:hAnsi="Arial Black"/>
              <w:caps/>
              <w:sz w:val="24"/>
            </w:rPr>
          </w:pPr>
          <w:r>
            <w:rPr>
              <w:rFonts w:ascii="Arial Black" w:hAnsi="Arial Black"/>
              <w:caps/>
              <w:sz w:val="24"/>
            </w:rPr>
            <w:t xml:space="preserve">Planning Policy </w:t>
          </w:r>
        </w:p>
        <w:p w:rsidR="00355AD1" w:rsidRDefault="00355AD1" w:rsidP="00584D44">
          <w:pPr>
            <w:pStyle w:val="Header"/>
            <w:rPr>
              <w:b/>
            </w:rPr>
          </w:pPr>
        </w:p>
      </w:tc>
      <w:tc>
        <w:tcPr>
          <w:tcW w:w="1559" w:type="dxa"/>
          <w:tcBorders>
            <w:top w:val="single" w:sz="4" w:space="0" w:color="auto"/>
            <w:left w:val="single" w:sz="4" w:space="0" w:color="auto"/>
            <w:bottom w:val="single" w:sz="4" w:space="0" w:color="auto"/>
            <w:right w:val="single" w:sz="4" w:space="0" w:color="auto"/>
          </w:tcBorders>
        </w:tcPr>
        <w:p w:rsidR="00355AD1" w:rsidRDefault="00355AD1" w:rsidP="00584D44">
          <w:pPr>
            <w:pStyle w:val="Header"/>
            <w:jc w:val="center"/>
            <w:rPr>
              <w:sz w:val="24"/>
            </w:rPr>
          </w:pPr>
          <w:r>
            <w:rPr>
              <w:sz w:val="24"/>
            </w:rPr>
            <w:t>Item</w:t>
          </w:r>
        </w:p>
        <w:p w:rsidR="00355AD1" w:rsidRDefault="00355AD1" w:rsidP="00584D44">
          <w:pPr>
            <w:pStyle w:val="Header"/>
            <w:jc w:val="center"/>
            <w:rPr>
              <w:sz w:val="24"/>
            </w:rPr>
          </w:pPr>
          <w:r>
            <w:rPr>
              <w:sz w:val="24"/>
            </w:rPr>
            <w:t>7</w:t>
          </w:r>
        </w:p>
        <w:p w:rsidR="00355AD1" w:rsidRDefault="00355AD1" w:rsidP="00584D44">
          <w:pPr>
            <w:pStyle w:val="Header"/>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355AD1" w:rsidRDefault="00355AD1" w:rsidP="00584D44">
          <w:pPr>
            <w:pStyle w:val="Header"/>
            <w:jc w:val="center"/>
            <w:rPr>
              <w:sz w:val="24"/>
            </w:rPr>
          </w:pPr>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Pr>
              <w:noProof/>
              <w:snapToGrid w:val="0"/>
              <w:sz w:val="24"/>
            </w:rPr>
            <w:t>1</w:t>
          </w:r>
          <w:r>
            <w:rPr>
              <w:snapToGrid w:val="0"/>
              <w:sz w:val="24"/>
            </w:rPr>
            <w:fldChar w:fldCharType="end"/>
          </w:r>
          <w:r>
            <w:rPr>
              <w:snapToGrid w:val="0"/>
              <w:sz w:val="24"/>
            </w:rPr>
            <w:t xml:space="preserve"> </w:t>
          </w:r>
        </w:p>
      </w:tc>
    </w:tr>
    <w:tr w:rsidR="00355AD1" w:rsidTr="00584D44">
      <w:trPr>
        <w:cantSplit/>
      </w:trPr>
      <w:tc>
        <w:tcPr>
          <w:tcW w:w="1526" w:type="dxa"/>
          <w:tcBorders>
            <w:top w:val="single" w:sz="4" w:space="0" w:color="auto"/>
            <w:left w:val="single" w:sz="4" w:space="0" w:color="auto"/>
            <w:bottom w:val="single" w:sz="4" w:space="0" w:color="auto"/>
            <w:right w:val="single" w:sz="4" w:space="0" w:color="auto"/>
          </w:tcBorders>
        </w:tcPr>
        <w:p w:rsidR="00355AD1" w:rsidRDefault="00355AD1" w:rsidP="00584D44">
          <w:pPr>
            <w:pStyle w:val="Header"/>
            <w:rPr>
              <w:b/>
              <w:sz w:val="24"/>
            </w:rPr>
          </w:pPr>
          <w:r>
            <w:rPr>
              <w:b/>
              <w:sz w:val="24"/>
            </w:rPr>
            <w:t xml:space="preserve">Report </w:t>
          </w:r>
        </w:p>
        <w:p w:rsidR="00355AD1" w:rsidRDefault="00355AD1" w:rsidP="00584D44">
          <w:pPr>
            <w:pStyle w:val="Header"/>
            <w:rPr>
              <w:b/>
              <w:sz w:val="24"/>
            </w:rPr>
          </w:pPr>
          <w:r>
            <w:rPr>
              <w:b/>
              <w:sz w:val="24"/>
            </w:rPr>
            <w:t>Originator</w:t>
          </w:r>
        </w:p>
        <w:p w:rsidR="00355AD1" w:rsidRDefault="00355AD1" w:rsidP="00584D44">
          <w:pPr>
            <w:pStyle w:val="Header"/>
            <w:rPr>
              <w:b/>
              <w:sz w:val="24"/>
            </w:rPr>
          </w:pPr>
        </w:p>
      </w:tc>
      <w:tc>
        <w:tcPr>
          <w:tcW w:w="5103" w:type="dxa"/>
          <w:tcBorders>
            <w:top w:val="single" w:sz="4" w:space="0" w:color="auto"/>
            <w:left w:val="single" w:sz="4" w:space="0" w:color="auto"/>
            <w:bottom w:val="single" w:sz="4" w:space="0" w:color="auto"/>
          </w:tcBorders>
        </w:tcPr>
        <w:p w:rsidR="00355AD1" w:rsidRDefault="00355AD1" w:rsidP="00584D44">
          <w:pPr>
            <w:pStyle w:val="Header"/>
            <w:rPr>
              <w:sz w:val="24"/>
            </w:rPr>
          </w:pPr>
          <w:r>
            <w:rPr>
              <w:sz w:val="24"/>
            </w:rPr>
            <w:t>Rob Harbour</w:t>
          </w:r>
        </w:p>
        <w:p w:rsidR="00355AD1" w:rsidRDefault="00355AD1" w:rsidP="00584D44">
          <w:pPr>
            <w:pStyle w:val="Header"/>
            <w:rPr>
              <w:sz w:val="24"/>
            </w:rPr>
          </w:pPr>
          <w:r>
            <w:rPr>
              <w:sz w:val="24"/>
            </w:rPr>
            <w:t xml:space="preserve">Head of Development Services </w:t>
          </w:r>
        </w:p>
      </w:tc>
      <w:tc>
        <w:tcPr>
          <w:tcW w:w="2551" w:type="dxa"/>
          <w:gridSpan w:val="2"/>
          <w:tcBorders>
            <w:top w:val="single" w:sz="4" w:space="0" w:color="auto"/>
            <w:left w:val="single" w:sz="4" w:space="0" w:color="auto"/>
            <w:bottom w:val="single" w:sz="4" w:space="0" w:color="auto"/>
            <w:right w:val="single" w:sz="4" w:space="0" w:color="auto"/>
          </w:tcBorders>
        </w:tcPr>
        <w:p w:rsidR="00355AD1" w:rsidRDefault="00355AD1" w:rsidP="00584D44">
          <w:pPr>
            <w:pStyle w:val="Header"/>
            <w:rPr>
              <w:sz w:val="24"/>
            </w:rPr>
          </w:pPr>
          <w:r>
            <w:rPr>
              <w:sz w:val="24"/>
            </w:rPr>
            <w:t>Fwd Plan Ref No:</w:t>
          </w:r>
        </w:p>
        <w:p w:rsidR="00355AD1" w:rsidRDefault="00355AD1" w:rsidP="00584D44">
          <w:pPr>
            <w:pStyle w:val="Header"/>
            <w:jc w:val="center"/>
            <w:rPr>
              <w:i/>
              <w:sz w:val="24"/>
            </w:rPr>
          </w:pPr>
          <w:r>
            <w:rPr>
              <w:i/>
              <w:sz w:val="24"/>
            </w:rPr>
            <w:t>-</w:t>
          </w:r>
        </w:p>
      </w:tc>
    </w:tr>
    <w:tr w:rsidR="00355AD1" w:rsidTr="00584D44">
      <w:trPr>
        <w:cantSplit/>
      </w:trPr>
      <w:tc>
        <w:tcPr>
          <w:tcW w:w="1526" w:type="dxa"/>
          <w:tcBorders>
            <w:top w:val="single" w:sz="4" w:space="0" w:color="auto"/>
            <w:left w:val="single" w:sz="4" w:space="0" w:color="auto"/>
            <w:bottom w:val="single" w:sz="4" w:space="0" w:color="auto"/>
            <w:right w:val="single" w:sz="4" w:space="0" w:color="auto"/>
          </w:tcBorders>
        </w:tcPr>
        <w:p w:rsidR="00355AD1" w:rsidRDefault="00355AD1" w:rsidP="00584D44">
          <w:pPr>
            <w:pStyle w:val="Header"/>
            <w:rPr>
              <w:b/>
              <w:sz w:val="24"/>
            </w:rPr>
          </w:pPr>
          <w:r>
            <w:rPr>
              <w:b/>
              <w:sz w:val="24"/>
            </w:rPr>
            <w:t>Wards Affected</w:t>
          </w:r>
        </w:p>
      </w:tc>
      <w:tc>
        <w:tcPr>
          <w:tcW w:w="5103" w:type="dxa"/>
          <w:tcBorders>
            <w:top w:val="single" w:sz="4" w:space="0" w:color="auto"/>
            <w:left w:val="single" w:sz="4" w:space="0" w:color="auto"/>
            <w:bottom w:val="single" w:sz="4" w:space="0" w:color="auto"/>
            <w:right w:val="single" w:sz="4" w:space="0" w:color="auto"/>
          </w:tcBorders>
        </w:tcPr>
        <w:p w:rsidR="00355AD1" w:rsidRDefault="00355AD1" w:rsidP="00584D44">
          <w:pPr>
            <w:pStyle w:val="Header"/>
            <w:rPr>
              <w:sz w:val="24"/>
            </w:rPr>
          </w:pPr>
          <w:r>
            <w:rPr>
              <w:sz w:val="24"/>
            </w:rPr>
            <w:t>All</w:t>
          </w:r>
        </w:p>
      </w:tc>
      <w:tc>
        <w:tcPr>
          <w:tcW w:w="2551" w:type="dxa"/>
          <w:gridSpan w:val="2"/>
          <w:tcBorders>
            <w:top w:val="single" w:sz="4" w:space="0" w:color="auto"/>
            <w:left w:val="single" w:sz="4" w:space="0" w:color="auto"/>
            <w:bottom w:val="single" w:sz="4" w:space="0" w:color="auto"/>
            <w:right w:val="single" w:sz="4" w:space="0" w:color="auto"/>
          </w:tcBorders>
        </w:tcPr>
        <w:p w:rsidR="00355AD1" w:rsidRDefault="00355AD1" w:rsidP="00584D44">
          <w:pPr>
            <w:pStyle w:val="Header"/>
            <w:rPr>
              <w:sz w:val="24"/>
            </w:rPr>
          </w:pPr>
          <w:r>
            <w:rPr>
              <w:sz w:val="24"/>
            </w:rPr>
            <w:t>2 September 2015</w:t>
          </w:r>
        </w:p>
        <w:p w:rsidR="00355AD1" w:rsidRDefault="00355AD1" w:rsidP="00584D44">
          <w:pPr>
            <w:pStyle w:val="Header"/>
            <w:rPr>
              <w:sz w:val="24"/>
            </w:rPr>
          </w:pPr>
        </w:p>
      </w:tc>
    </w:tr>
    <w:tr w:rsidR="00355AD1" w:rsidTr="00584D44">
      <w:trPr>
        <w:cantSplit/>
      </w:trPr>
      <w:tc>
        <w:tcPr>
          <w:tcW w:w="1526" w:type="dxa"/>
          <w:tcBorders>
            <w:top w:val="single" w:sz="4" w:space="0" w:color="auto"/>
            <w:left w:val="single" w:sz="4" w:space="0" w:color="auto"/>
            <w:bottom w:val="single" w:sz="4" w:space="0" w:color="auto"/>
            <w:right w:val="single" w:sz="4" w:space="0" w:color="auto"/>
          </w:tcBorders>
        </w:tcPr>
        <w:p w:rsidR="00355AD1" w:rsidRDefault="00355AD1" w:rsidP="00584D44">
          <w:pPr>
            <w:pStyle w:val="Header"/>
            <w:rPr>
              <w:b/>
              <w:sz w:val="24"/>
            </w:rPr>
          </w:pPr>
        </w:p>
        <w:p w:rsidR="00355AD1" w:rsidRDefault="00355AD1" w:rsidP="00584D44">
          <w:pPr>
            <w:pStyle w:val="Header"/>
            <w:rPr>
              <w:b/>
              <w:sz w:val="24"/>
            </w:rPr>
          </w:pPr>
          <w:r>
            <w:rPr>
              <w:b/>
              <w:sz w:val="24"/>
            </w:rPr>
            <w:t>Title</w:t>
          </w:r>
        </w:p>
      </w:tc>
      <w:tc>
        <w:tcPr>
          <w:tcW w:w="7654" w:type="dxa"/>
          <w:gridSpan w:val="3"/>
          <w:tcBorders>
            <w:top w:val="single" w:sz="4" w:space="0" w:color="auto"/>
            <w:left w:val="single" w:sz="4" w:space="0" w:color="auto"/>
            <w:bottom w:val="single" w:sz="4" w:space="0" w:color="auto"/>
            <w:right w:val="single" w:sz="4" w:space="0" w:color="auto"/>
          </w:tcBorders>
        </w:tcPr>
        <w:p w:rsidR="00355AD1" w:rsidRDefault="00355AD1" w:rsidP="00584D44">
          <w:pPr>
            <w:pStyle w:val="Header"/>
            <w:rPr>
              <w:rFonts w:ascii="Arial Black" w:hAnsi="Arial Black"/>
              <w:b/>
              <w:sz w:val="24"/>
            </w:rPr>
          </w:pPr>
          <w:r>
            <w:rPr>
              <w:rFonts w:ascii="Arial Black" w:hAnsi="Arial Black"/>
              <w:b/>
              <w:sz w:val="24"/>
            </w:rPr>
            <w:t>SITE SPECIFIC PROPOSALS LOCAL DEVELOPMENT DOCUMENT – SETTLEMENT BOUNDARY (UPDATE) BACKGROUND PAPER</w:t>
          </w:r>
        </w:p>
      </w:tc>
    </w:tr>
  </w:tbl>
  <w:p w:rsidR="00355AD1" w:rsidRDefault="00355AD1" w:rsidP="00355AD1"/>
  <w:p w:rsidR="00355AD1" w:rsidRDefault="00355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24B73"/>
    <w:multiLevelType w:val="multilevel"/>
    <w:tmpl w:val="11DA3B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00A04AA"/>
    <w:multiLevelType w:val="hybridMultilevel"/>
    <w:tmpl w:val="102E0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5B12CD0"/>
    <w:multiLevelType w:val="multilevel"/>
    <w:tmpl w:val="AC781058"/>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59A5555A"/>
    <w:multiLevelType w:val="hybridMultilevel"/>
    <w:tmpl w:val="1A686BA8"/>
    <w:lvl w:ilvl="0" w:tplc="05CA7D28">
      <w:start w:val="1"/>
      <w:numFmt w:val="decimal"/>
      <w:lvlText w:val="%1."/>
      <w:lvlJc w:val="left"/>
      <w:pPr>
        <w:tabs>
          <w:tab w:val="num" w:pos="1080"/>
        </w:tabs>
        <w:ind w:left="1080" w:hanging="720"/>
      </w:pPr>
      <w:rPr>
        <w:rFonts w:hint="default"/>
      </w:rPr>
    </w:lvl>
    <w:lvl w:ilvl="1" w:tplc="1B80595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43732E"/>
    <w:multiLevelType w:val="multilevel"/>
    <w:tmpl w:val="F6825C72"/>
    <w:lvl w:ilvl="0">
      <w:start w:val="3"/>
      <w:numFmt w:val="decimal"/>
      <w:lvlText w:val="%1.0"/>
      <w:lvlJc w:val="left"/>
      <w:pPr>
        <w:ind w:left="90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58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380" w:hanging="1800"/>
      </w:pPr>
      <w:rPr>
        <w:rFonts w:hint="default"/>
      </w:rPr>
    </w:lvl>
    <w:lvl w:ilvl="8">
      <w:start w:val="1"/>
      <w:numFmt w:val="decimal"/>
      <w:lvlText w:val="%1.%2.%3.%4.%5.%6.%7.%8.%9"/>
      <w:lvlJc w:val="left"/>
      <w:pPr>
        <w:ind w:left="8100" w:hanging="1800"/>
      </w:pPr>
      <w:rPr>
        <w:rFonts w:hint="default"/>
      </w:r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EB"/>
    <w:rsid w:val="000C0546"/>
    <w:rsid w:val="0010129D"/>
    <w:rsid w:val="00112E24"/>
    <w:rsid w:val="001C0DAA"/>
    <w:rsid w:val="001F0FE0"/>
    <w:rsid w:val="00221225"/>
    <w:rsid w:val="0022568C"/>
    <w:rsid w:val="00242FC1"/>
    <w:rsid w:val="00355AD1"/>
    <w:rsid w:val="003B3DE6"/>
    <w:rsid w:val="003E5DEA"/>
    <w:rsid w:val="004369DD"/>
    <w:rsid w:val="00535433"/>
    <w:rsid w:val="005C1A87"/>
    <w:rsid w:val="0065374F"/>
    <w:rsid w:val="007E11F9"/>
    <w:rsid w:val="00846D1B"/>
    <w:rsid w:val="00934CAB"/>
    <w:rsid w:val="00984F3E"/>
    <w:rsid w:val="00A83255"/>
    <w:rsid w:val="00AA146F"/>
    <w:rsid w:val="00AB333A"/>
    <w:rsid w:val="00AF0344"/>
    <w:rsid w:val="00B94DD2"/>
    <w:rsid w:val="00BA14EB"/>
    <w:rsid w:val="00BF0C16"/>
    <w:rsid w:val="00C23C4F"/>
    <w:rsid w:val="00DB1DE4"/>
    <w:rsid w:val="00DE7062"/>
    <w:rsid w:val="00E55FE0"/>
    <w:rsid w:val="00E8565C"/>
    <w:rsid w:val="00F04E37"/>
    <w:rsid w:val="00F5006C"/>
    <w:rsid w:val="00F902DD"/>
    <w:rsid w:val="00F9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14EB"/>
    <w:pPr>
      <w:tabs>
        <w:tab w:val="center" w:pos="4153"/>
        <w:tab w:val="right" w:pos="8306"/>
      </w:tabs>
    </w:pPr>
    <w:rPr>
      <w:rFonts w:ascii="Arial" w:hAnsi="Arial"/>
      <w:sz w:val="20"/>
      <w:szCs w:val="20"/>
    </w:rPr>
  </w:style>
  <w:style w:type="character" w:customStyle="1" w:styleId="HeaderChar">
    <w:name w:val="Header Char"/>
    <w:basedOn w:val="DefaultParagraphFont"/>
    <w:link w:val="Header"/>
    <w:rsid w:val="00BA14EB"/>
    <w:rPr>
      <w:rFonts w:ascii="Arial" w:eastAsia="Times New Roman" w:hAnsi="Arial" w:cs="Times New Roman"/>
      <w:sz w:val="20"/>
      <w:szCs w:val="20"/>
    </w:rPr>
  </w:style>
  <w:style w:type="paragraph" w:styleId="BodyTextIndent">
    <w:name w:val="Body Text Indent"/>
    <w:basedOn w:val="Normal"/>
    <w:link w:val="BodyTextIndentChar"/>
    <w:rsid w:val="00BA14EB"/>
    <w:pPr>
      <w:ind w:left="360"/>
      <w:jc w:val="both"/>
    </w:pPr>
    <w:rPr>
      <w:bCs/>
    </w:rPr>
  </w:style>
  <w:style w:type="character" w:customStyle="1" w:styleId="BodyTextIndentChar">
    <w:name w:val="Body Text Indent Char"/>
    <w:basedOn w:val="DefaultParagraphFont"/>
    <w:link w:val="BodyTextIndent"/>
    <w:rsid w:val="00BA14EB"/>
    <w:rPr>
      <w:rFonts w:ascii="Times New Roman" w:eastAsia="Times New Roman" w:hAnsi="Times New Roman" w:cs="Times New Roman"/>
      <w:bCs/>
      <w:sz w:val="24"/>
      <w:szCs w:val="24"/>
    </w:rPr>
  </w:style>
  <w:style w:type="paragraph" w:styleId="BodyTextIndent3">
    <w:name w:val="Body Text Indent 3"/>
    <w:basedOn w:val="Normal"/>
    <w:link w:val="BodyTextIndent3Char"/>
    <w:rsid w:val="00BA14EB"/>
    <w:pPr>
      <w:ind w:left="540" w:hanging="540"/>
      <w:jc w:val="both"/>
    </w:pPr>
    <w:rPr>
      <w:rFonts w:ascii="Arial" w:hAnsi="Arial" w:cs="Arial"/>
      <w:bCs/>
    </w:rPr>
  </w:style>
  <w:style w:type="character" w:customStyle="1" w:styleId="BodyTextIndent3Char">
    <w:name w:val="Body Text Indent 3 Char"/>
    <w:basedOn w:val="DefaultParagraphFont"/>
    <w:link w:val="BodyTextIndent3"/>
    <w:rsid w:val="00BA14EB"/>
    <w:rPr>
      <w:rFonts w:ascii="Arial" w:eastAsia="Times New Roman" w:hAnsi="Arial" w:cs="Arial"/>
      <w:bCs/>
      <w:sz w:val="24"/>
      <w:szCs w:val="24"/>
    </w:rPr>
  </w:style>
  <w:style w:type="paragraph" w:styleId="ListParagraph">
    <w:name w:val="List Paragraph"/>
    <w:basedOn w:val="Normal"/>
    <w:uiPriority w:val="34"/>
    <w:qFormat/>
    <w:rsid w:val="00BA14EB"/>
    <w:pPr>
      <w:ind w:left="720"/>
    </w:pPr>
  </w:style>
  <w:style w:type="table" w:styleId="TableGrid">
    <w:name w:val="Table Grid"/>
    <w:basedOn w:val="TableNormal"/>
    <w:uiPriority w:val="59"/>
    <w:rsid w:val="00BA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DEA"/>
    <w:rPr>
      <w:sz w:val="16"/>
      <w:szCs w:val="16"/>
    </w:rPr>
  </w:style>
  <w:style w:type="paragraph" w:styleId="CommentText">
    <w:name w:val="annotation text"/>
    <w:basedOn w:val="Normal"/>
    <w:link w:val="CommentTextChar"/>
    <w:uiPriority w:val="99"/>
    <w:semiHidden/>
    <w:unhideWhenUsed/>
    <w:rsid w:val="003E5DEA"/>
    <w:rPr>
      <w:sz w:val="20"/>
      <w:szCs w:val="20"/>
    </w:rPr>
  </w:style>
  <w:style w:type="character" w:customStyle="1" w:styleId="CommentTextChar">
    <w:name w:val="Comment Text Char"/>
    <w:basedOn w:val="DefaultParagraphFont"/>
    <w:link w:val="CommentText"/>
    <w:uiPriority w:val="99"/>
    <w:semiHidden/>
    <w:rsid w:val="003E5D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5DEA"/>
    <w:rPr>
      <w:b/>
      <w:bCs/>
    </w:rPr>
  </w:style>
  <w:style w:type="character" w:customStyle="1" w:styleId="CommentSubjectChar">
    <w:name w:val="Comment Subject Char"/>
    <w:basedOn w:val="CommentTextChar"/>
    <w:link w:val="CommentSubject"/>
    <w:uiPriority w:val="99"/>
    <w:semiHidden/>
    <w:rsid w:val="003E5D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5DEA"/>
    <w:rPr>
      <w:rFonts w:ascii="Tahoma" w:hAnsi="Tahoma" w:cs="Tahoma"/>
      <w:sz w:val="16"/>
      <w:szCs w:val="16"/>
    </w:rPr>
  </w:style>
  <w:style w:type="character" w:customStyle="1" w:styleId="BalloonTextChar">
    <w:name w:val="Balloon Text Char"/>
    <w:basedOn w:val="DefaultParagraphFont"/>
    <w:link w:val="BalloonText"/>
    <w:uiPriority w:val="99"/>
    <w:semiHidden/>
    <w:rsid w:val="003E5DEA"/>
    <w:rPr>
      <w:rFonts w:ascii="Tahoma" w:eastAsia="Times New Roman" w:hAnsi="Tahoma" w:cs="Tahoma"/>
      <w:sz w:val="16"/>
      <w:szCs w:val="16"/>
    </w:rPr>
  </w:style>
  <w:style w:type="paragraph" w:styleId="Footer">
    <w:name w:val="footer"/>
    <w:basedOn w:val="Normal"/>
    <w:link w:val="FooterChar"/>
    <w:uiPriority w:val="99"/>
    <w:unhideWhenUsed/>
    <w:rsid w:val="00355AD1"/>
    <w:pPr>
      <w:tabs>
        <w:tab w:val="center" w:pos="4513"/>
        <w:tab w:val="right" w:pos="9026"/>
      </w:tabs>
    </w:pPr>
  </w:style>
  <w:style w:type="character" w:customStyle="1" w:styleId="FooterChar">
    <w:name w:val="Footer Char"/>
    <w:basedOn w:val="DefaultParagraphFont"/>
    <w:link w:val="Footer"/>
    <w:uiPriority w:val="99"/>
    <w:rsid w:val="00355AD1"/>
    <w:rPr>
      <w:rFonts w:ascii="Times New Roman" w:eastAsia="Times New Roman" w:hAnsi="Times New Roman" w:cs="Times New Roman"/>
      <w:sz w:val="24"/>
      <w:szCs w:val="24"/>
    </w:rPr>
  </w:style>
  <w:style w:type="character" w:styleId="PageNumber">
    <w:name w:val="page number"/>
    <w:basedOn w:val="DefaultParagraphFont"/>
    <w:rsid w:val="00355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14EB"/>
    <w:pPr>
      <w:tabs>
        <w:tab w:val="center" w:pos="4153"/>
        <w:tab w:val="right" w:pos="8306"/>
      </w:tabs>
    </w:pPr>
    <w:rPr>
      <w:rFonts w:ascii="Arial" w:hAnsi="Arial"/>
      <w:sz w:val="20"/>
      <w:szCs w:val="20"/>
    </w:rPr>
  </w:style>
  <w:style w:type="character" w:customStyle="1" w:styleId="HeaderChar">
    <w:name w:val="Header Char"/>
    <w:basedOn w:val="DefaultParagraphFont"/>
    <w:link w:val="Header"/>
    <w:rsid w:val="00BA14EB"/>
    <w:rPr>
      <w:rFonts w:ascii="Arial" w:eastAsia="Times New Roman" w:hAnsi="Arial" w:cs="Times New Roman"/>
      <w:sz w:val="20"/>
      <w:szCs w:val="20"/>
    </w:rPr>
  </w:style>
  <w:style w:type="paragraph" w:styleId="BodyTextIndent">
    <w:name w:val="Body Text Indent"/>
    <w:basedOn w:val="Normal"/>
    <w:link w:val="BodyTextIndentChar"/>
    <w:rsid w:val="00BA14EB"/>
    <w:pPr>
      <w:ind w:left="360"/>
      <w:jc w:val="both"/>
    </w:pPr>
    <w:rPr>
      <w:bCs/>
    </w:rPr>
  </w:style>
  <w:style w:type="character" w:customStyle="1" w:styleId="BodyTextIndentChar">
    <w:name w:val="Body Text Indent Char"/>
    <w:basedOn w:val="DefaultParagraphFont"/>
    <w:link w:val="BodyTextIndent"/>
    <w:rsid w:val="00BA14EB"/>
    <w:rPr>
      <w:rFonts w:ascii="Times New Roman" w:eastAsia="Times New Roman" w:hAnsi="Times New Roman" w:cs="Times New Roman"/>
      <w:bCs/>
      <w:sz w:val="24"/>
      <w:szCs w:val="24"/>
    </w:rPr>
  </w:style>
  <w:style w:type="paragraph" w:styleId="BodyTextIndent3">
    <w:name w:val="Body Text Indent 3"/>
    <w:basedOn w:val="Normal"/>
    <w:link w:val="BodyTextIndent3Char"/>
    <w:rsid w:val="00BA14EB"/>
    <w:pPr>
      <w:ind w:left="540" w:hanging="540"/>
      <w:jc w:val="both"/>
    </w:pPr>
    <w:rPr>
      <w:rFonts w:ascii="Arial" w:hAnsi="Arial" w:cs="Arial"/>
      <w:bCs/>
    </w:rPr>
  </w:style>
  <w:style w:type="character" w:customStyle="1" w:styleId="BodyTextIndent3Char">
    <w:name w:val="Body Text Indent 3 Char"/>
    <w:basedOn w:val="DefaultParagraphFont"/>
    <w:link w:val="BodyTextIndent3"/>
    <w:rsid w:val="00BA14EB"/>
    <w:rPr>
      <w:rFonts w:ascii="Arial" w:eastAsia="Times New Roman" w:hAnsi="Arial" w:cs="Arial"/>
      <w:bCs/>
      <w:sz w:val="24"/>
      <w:szCs w:val="24"/>
    </w:rPr>
  </w:style>
  <w:style w:type="paragraph" w:styleId="ListParagraph">
    <w:name w:val="List Paragraph"/>
    <w:basedOn w:val="Normal"/>
    <w:uiPriority w:val="34"/>
    <w:qFormat/>
    <w:rsid w:val="00BA14EB"/>
    <w:pPr>
      <w:ind w:left="720"/>
    </w:pPr>
  </w:style>
  <w:style w:type="table" w:styleId="TableGrid">
    <w:name w:val="Table Grid"/>
    <w:basedOn w:val="TableNormal"/>
    <w:uiPriority w:val="59"/>
    <w:rsid w:val="00BA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DEA"/>
    <w:rPr>
      <w:sz w:val="16"/>
      <w:szCs w:val="16"/>
    </w:rPr>
  </w:style>
  <w:style w:type="paragraph" w:styleId="CommentText">
    <w:name w:val="annotation text"/>
    <w:basedOn w:val="Normal"/>
    <w:link w:val="CommentTextChar"/>
    <w:uiPriority w:val="99"/>
    <w:semiHidden/>
    <w:unhideWhenUsed/>
    <w:rsid w:val="003E5DEA"/>
    <w:rPr>
      <w:sz w:val="20"/>
      <w:szCs w:val="20"/>
    </w:rPr>
  </w:style>
  <w:style w:type="character" w:customStyle="1" w:styleId="CommentTextChar">
    <w:name w:val="Comment Text Char"/>
    <w:basedOn w:val="DefaultParagraphFont"/>
    <w:link w:val="CommentText"/>
    <w:uiPriority w:val="99"/>
    <w:semiHidden/>
    <w:rsid w:val="003E5D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5DEA"/>
    <w:rPr>
      <w:b/>
      <w:bCs/>
    </w:rPr>
  </w:style>
  <w:style w:type="character" w:customStyle="1" w:styleId="CommentSubjectChar">
    <w:name w:val="Comment Subject Char"/>
    <w:basedOn w:val="CommentTextChar"/>
    <w:link w:val="CommentSubject"/>
    <w:uiPriority w:val="99"/>
    <w:semiHidden/>
    <w:rsid w:val="003E5D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5DEA"/>
    <w:rPr>
      <w:rFonts w:ascii="Tahoma" w:hAnsi="Tahoma" w:cs="Tahoma"/>
      <w:sz w:val="16"/>
      <w:szCs w:val="16"/>
    </w:rPr>
  </w:style>
  <w:style w:type="character" w:customStyle="1" w:styleId="BalloonTextChar">
    <w:name w:val="Balloon Text Char"/>
    <w:basedOn w:val="DefaultParagraphFont"/>
    <w:link w:val="BalloonText"/>
    <w:uiPriority w:val="99"/>
    <w:semiHidden/>
    <w:rsid w:val="003E5DEA"/>
    <w:rPr>
      <w:rFonts w:ascii="Tahoma" w:eastAsia="Times New Roman" w:hAnsi="Tahoma" w:cs="Tahoma"/>
      <w:sz w:val="16"/>
      <w:szCs w:val="16"/>
    </w:rPr>
  </w:style>
  <w:style w:type="paragraph" w:styleId="Footer">
    <w:name w:val="footer"/>
    <w:basedOn w:val="Normal"/>
    <w:link w:val="FooterChar"/>
    <w:uiPriority w:val="99"/>
    <w:unhideWhenUsed/>
    <w:rsid w:val="00355AD1"/>
    <w:pPr>
      <w:tabs>
        <w:tab w:val="center" w:pos="4513"/>
        <w:tab w:val="right" w:pos="9026"/>
      </w:tabs>
    </w:pPr>
  </w:style>
  <w:style w:type="character" w:customStyle="1" w:styleId="FooterChar">
    <w:name w:val="Footer Char"/>
    <w:basedOn w:val="DefaultParagraphFont"/>
    <w:link w:val="Footer"/>
    <w:uiPriority w:val="99"/>
    <w:rsid w:val="00355AD1"/>
    <w:rPr>
      <w:rFonts w:ascii="Times New Roman" w:eastAsia="Times New Roman" w:hAnsi="Times New Roman" w:cs="Times New Roman"/>
      <w:sz w:val="24"/>
      <w:szCs w:val="24"/>
    </w:rPr>
  </w:style>
  <w:style w:type="character" w:styleId="PageNumber">
    <w:name w:val="page number"/>
    <w:basedOn w:val="DefaultParagraphFont"/>
    <w:rsid w:val="00355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07FCA-AC1B-4EBF-BDFE-0504E49E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1740</Words>
  <Characters>9920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Coleman</dc:creator>
  <cp:lastModifiedBy>Anne Ireson</cp:lastModifiedBy>
  <cp:revision>2</cp:revision>
  <cp:lastPrinted>2015-08-25T10:54:00Z</cp:lastPrinted>
  <dcterms:created xsi:type="dcterms:W3CDTF">2015-08-25T10:58:00Z</dcterms:created>
  <dcterms:modified xsi:type="dcterms:W3CDTF">2015-08-25T10:58:00Z</dcterms:modified>
</cp:coreProperties>
</file>