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17A2B" w:rsidRDefault="0018018D">
      <w:pPr>
        <w:ind w:left="567" w:hanging="567"/>
        <w:rPr>
          <w:b/>
          <w:bCs/>
          <w:sz w:val="24"/>
        </w:rPr>
      </w:pPr>
      <w:r>
        <w:rPr>
          <w:b/>
          <w:bCs/>
          <w:noProof/>
          <w:sz w:val="24"/>
          <w:lang w:eastAsia="en-GB"/>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-142875</wp:posOffset>
                </wp:positionV>
                <wp:extent cx="6038850" cy="1876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876425"/>
                        </a:xfrm>
                        <a:prstGeom prst="rect">
                          <a:avLst/>
                        </a:prstGeom>
                        <a:solidFill>
                          <a:srgbClr val="FFFFFF"/>
                        </a:solidFill>
                        <a:ln w="9525">
                          <a:solidFill>
                            <a:srgbClr val="000000"/>
                          </a:solidFill>
                          <a:miter lim="800000"/>
                          <a:headEnd/>
                          <a:tailEnd/>
                        </a:ln>
                      </wps:spPr>
                      <wps:txbx>
                        <w:txbxContent>
                          <w:p w:rsidR="00F17A2B" w:rsidRDefault="00F17A2B" w:rsidP="00F17A2B">
                            <w:pPr>
                              <w:ind w:left="567" w:hanging="567"/>
                              <w:jc w:val="both"/>
                              <w:rPr>
                                <w:sz w:val="24"/>
                              </w:rPr>
                            </w:pPr>
                            <w:r>
                              <w:rPr>
                                <w:b/>
                                <w:sz w:val="24"/>
                              </w:rPr>
                              <w:t>1</w:t>
                            </w:r>
                            <w:r w:rsidR="00FA49CA">
                              <w:rPr>
                                <w:b/>
                                <w:sz w:val="24"/>
                              </w:rPr>
                              <w:t>.</w:t>
                            </w:r>
                            <w:r>
                              <w:rPr>
                                <w:b/>
                                <w:sz w:val="24"/>
                              </w:rPr>
                              <w:tab/>
                            </w:r>
                            <w:r>
                              <w:rPr>
                                <w:b/>
                                <w:sz w:val="24"/>
                                <w:u w:val="single"/>
                              </w:rPr>
                              <w:t>PURPOSE OF REPORT</w:t>
                            </w:r>
                          </w:p>
                          <w:p w:rsidR="00F17A2B" w:rsidRDefault="00F17A2B" w:rsidP="00F17A2B">
                            <w:pPr>
                              <w:jc w:val="both"/>
                              <w:rPr>
                                <w:sz w:val="24"/>
                              </w:rPr>
                            </w:pPr>
                          </w:p>
                          <w:p w:rsidR="00054168" w:rsidRDefault="004A48B5" w:rsidP="004A48B5">
                            <w:pPr>
                              <w:numPr>
                                <w:ilvl w:val="0"/>
                                <w:numId w:val="1"/>
                              </w:numPr>
                              <w:jc w:val="both"/>
                              <w:rPr>
                                <w:sz w:val="24"/>
                              </w:rPr>
                            </w:pPr>
                            <w:r>
                              <w:rPr>
                                <w:sz w:val="24"/>
                              </w:rPr>
                              <w:t>To report the Council’s Prudential Indicators for approval (in accordance with statute and the Council’s Constitution)</w:t>
                            </w:r>
                          </w:p>
                          <w:p w:rsidR="004A48B5" w:rsidRDefault="004A48B5" w:rsidP="004A48B5">
                            <w:pPr>
                              <w:ind w:left="567"/>
                              <w:jc w:val="both"/>
                              <w:rPr>
                                <w:sz w:val="24"/>
                              </w:rPr>
                            </w:pPr>
                          </w:p>
                          <w:p w:rsidR="004A48B5" w:rsidRDefault="004A48B5" w:rsidP="000D05A4">
                            <w:pPr>
                              <w:numPr>
                                <w:ilvl w:val="0"/>
                                <w:numId w:val="1"/>
                              </w:numPr>
                              <w:jc w:val="both"/>
                              <w:rPr>
                                <w:sz w:val="24"/>
                              </w:rPr>
                            </w:pPr>
                            <w:r>
                              <w:rPr>
                                <w:sz w:val="24"/>
                              </w:rPr>
                              <w:t xml:space="preserve">To report the Council’s updated Treasury Management Policy and Strategy for </w:t>
                            </w:r>
                            <w:r w:rsidR="0018763C">
                              <w:rPr>
                                <w:sz w:val="24"/>
                              </w:rPr>
                              <w:t>2015/16</w:t>
                            </w:r>
                            <w:r>
                              <w:rPr>
                                <w:sz w:val="24"/>
                              </w:rPr>
                              <w:t xml:space="preserve"> to full Council as background </w:t>
                            </w:r>
                            <w:r w:rsidR="00843328">
                              <w:rPr>
                                <w:sz w:val="24"/>
                              </w:rPr>
                              <w:t>to</w:t>
                            </w:r>
                            <w:r>
                              <w:rPr>
                                <w:sz w:val="24"/>
                              </w:rPr>
                              <w:t xml:space="preserve"> the consideration of the Prudential Indicators – the Policy and Strategy were formally approved by the Council’s Executive Committee at its meeting of 1</w:t>
                            </w:r>
                            <w:r w:rsidR="0018763C">
                              <w:rPr>
                                <w:sz w:val="24"/>
                              </w:rPr>
                              <w:t>8</w:t>
                            </w:r>
                            <w:r>
                              <w:rPr>
                                <w:sz w:val="24"/>
                              </w:rPr>
                              <w:t xml:space="preserve"> February.</w:t>
                            </w:r>
                          </w:p>
                          <w:p w:rsidR="00F17A2B" w:rsidRDefault="00F17A2B" w:rsidP="00F17A2B">
                            <w:pPr>
                              <w:jc w:val="both"/>
                              <w:rPr>
                                <w:sz w:val="24"/>
                              </w:rPr>
                            </w:pPr>
                          </w:p>
                          <w:p w:rsidR="00F17A2B" w:rsidRDefault="00F17A2B" w:rsidP="00F92B50">
                            <w:pPr>
                              <w:ind w:left="426"/>
                              <w:jc w:val="both"/>
                            </w:pPr>
                          </w:p>
                          <w:p w:rsidR="00F17A2B" w:rsidRDefault="00F17A2B" w:rsidP="00F17A2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5pt;margin-top:-11.25pt;width:475.5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8MKQIAAFEEAAAOAAAAZHJzL2Uyb0RvYy54bWysVNtu2zAMfR+wfxD0vthJkzQ14hRdugwD&#10;ugvQ7gNkWbaFSaImKbGzrx8lp1l2wR6G+UEgReqQPCS9vh20IgfhvART0ukkp0QYDrU0bUk/P+1e&#10;rSjxgZmaKTCipEfh6e3m5Yt1bwsxgw5ULRxBEOOL3pa0C8EWWeZ5JzTzE7DCoLEBp1lA1bVZ7ViP&#10;6FplszxfZj242jrgwnu8vR+NdJPwm0bw8LFpvAhElRRzC+l06azimW3WrGgds53kpzTYP2ShmTQY&#10;9Ax1zwIjeyd/g9KSO/DQhAkHnUHTSC5SDVjNNP+lmseOWZFqQXK8PdPk/x8s/3D45IisSzqjxDCN&#10;LXoSQyCvYSBXkZ3e+gKdHi26hQGvscupUm8fgH/xxMC2Y6YVd85B3wlWY3bT+DK7eDri+AhS9e+h&#10;xjBsHyABDY3TkTokgyA6dul47kxMhePlMr9arRZo4mibrq6X89kixWDF83PrfHgrQJMolNRh6xM8&#10;Ozz4ENNhxbNLjOZByXonlUqKa6utcuTAcEx26Tuh/+SmDOlLerPA2H+HyNP3JwgtA867krqkq7MT&#10;KyJvb0ydpjEwqUYZU1bmRGTkbmQxDNVwakwF9REpdTDONe4hCh24b5T0ONMl9V/3zAlK1DuDbbmZ&#10;zudxCZIyX1zPUHGXlurSwgxHqJIGSkZxG8bF2Vsn2w4jjYNg4A5b2chEcuz5mNUpb5zbxP1px+Ji&#10;XOrJ68efYPMdAAD//wMAUEsDBBQABgAIAAAAIQBIkQ863wAAAAkBAAAPAAAAZHJzL2Rvd25yZXYu&#10;eG1sTI9NT8MwDIbvSPyHyEhc0JbSsq/SdEJIIHaDbYJr1nhtReKUJuvKv8ec4Gg/r14/Ltajs2LA&#10;PrSeFNxOExBIlTct1Qr2u6fJEkSImoy2nlDBNwZYl5cXhc6NP9MbDttYCy6hkGsFTYxdLmWoGnQ6&#10;TH2HxOzoe6cjj30tTa/PXO6sTJNkLp1uiS80usPHBqvP7ckpWN69DB9hk72+V/OjXcWbxfD81St1&#10;fTU+3IOIOMa/MPzqszqU7HTwJzJBWAVpxkEFkzSdgWC+mmW8OTBYZAnIspD/Pyh/AAAA//8DAFBL&#10;AQItABQABgAIAAAAIQC2gziS/gAAAOEBAAATAAAAAAAAAAAAAAAAAAAAAABbQ29udGVudF9UeXBl&#10;c10ueG1sUEsBAi0AFAAGAAgAAAAhADj9If/WAAAAlAEAAAsAAAAAAAAAAAAAAAAALwEAAF9yZWxz&#10;Ly5yZWxzUEsBAi0AFAAGAAgAAAAhADdTDwwpAgAAUQQAAA4AAAAAAAAAAAAAAAAALgIAAGRycy9l&#10;Mm9Eb2MueG1sUEsBAi0AFAAGAAgAAAAhAEiRDzrfAAAACQEAAA8AAAAAAAAAAAAAAAAAgwQAAGRy&#10;cy9kb3ducmV2LnhtbFBLBQYAAAAABAAEAPMAAACPBQAAAAA=&#10;">
                <v:textbox>
                  <w:txbxContent>
                    <w:p w:rsidR="00F17A2B" w:rsidRDefault="00F17A2B" w:rsidP="00F17A2B">
                      <w:pPr>
                        <w:ind w:left="567" w:hanging="567"/>
                        <w:jc w:val="both"/>
                        <w:rPr>
                          <w:sz w:val="24"/>
                        </w:rPr>
                      </w:pPr>
                      <w:r>
                        <w:rPr>
                          <w:b/>
                          <w:sz w:val="24"/>
                        </w:rPr>
                        <w:t>1</w:t>
                      </w:r>
                      <w:r w:rsidR="00FA49CA">
                        <w:rPr>
                          <w:b/>
                          <w:sz w:val="24"/>
                        </w:rPr>
                        <w:t>.</w:t>
                      </w:r>
                      <w:r>
                        <w:rPr>
                          <w:b/>
                          <w:sz w:val="24"/>
                        </w:rPr>
                        <w:tab/>
                      </w:r>
                      <w:r>
                        <w:rPr>
                          <w:b/>
                          <w:sz w:val="24"/>
                          <w:u w:val="single"/>
                        </w:rPr>
                        <w:t>PURPOSE OF REPORT</w:t>
                      </w:r>
                    </w:p>
                    <w:p w:rsidR="00F17A2B" w:rsidRDefault="00F17A2B" w:rsidP="00F17A2B">
                      <w:pPr>
                        <w:jc w:val="both"/>
                        <w:rPr>
                          <w:sz w:val="24"/>
                        </w:rPr>
                      </w:pPr>
                    </w:p>
                    <w:p w:rsidR="00054168" w:rsidRDefault="004A48B5" w:rsidP="004A48B5">
                      <w:pPr>
                        <w:numPr>
                          <w:ilvl w:val="0"/>
                          <w:numId w:val="1"/>
                        </w:numPr>
                        <w:jc w:val="both"/>
                        <w:rPr>
                          <w:sz w:val="24"/>
                        </w:rPr>
                      </w:pPr>
                      <w:r>
                        <w:rPr>
                          <w:sz w:val="24"/>
                        </w:rPr>
                        <w:t>To report the Council’s Prudential Indicators for approval (in accordance with statute and the Council’s Constitution)</w:t>
                      </w:r>
                    </w:p>
                    <w:p w:rsidR="004A48B5" w:rsidRDefault="004A48B5" w:rsidP="004A48B5">
                      <w:pPr>
                        <w:ind w:left="567"/>
                        <w:jc w:val="both"/>
                        <w:rPr>
                          <w:sz w:val="24"/>
                        </w:rPr>
                      </w:pPr>
                    </w:p>
                    <w:p w:rsidR="004A48B5" w:rsidRDefault="004A48B5" w:rsidP="000D05A4">
                      <w:pPr>
                        <w:numPr>
                          <w:ilvl w:val="0"/>
                          <w:numId w:val="1"/>
                        </w:numPr>
                        <w:jc w:val="both"/>
                        <w:rPr>
                          <w:sz w:val="24"/>
                        </w:rPr>
                      </w:pPr>
                      <w:r>
                        <w:rPr>
                          <w:sz w:val="24"/>
                        </w:rPr>
                        <w:t xml:space="preserve">To report the Council’s updated Treasury Management Policy and Strategy for </w:t>
                      </w:r>
                      <w:r w:rsidR="0018763C">
                        <w:rPr>
                          <w:sz w:val="24"/>
                        </w:rPr>
                        <w:t>2015/16</w:t>
                      </w:r>
                      <w:r>
                        <w:rPr>
                          <w:sz w:val="24"/>
                        </w:rPr>
                        <w:t xml:space="preserve"> to full Council as background </w:t>
                      </w:r>
                      <w:r w:rsidR="00843328">
                        <w:rPr>
                          <w:sz w:val="24"/>
                        </w:rPr>
                        <w:t>to</w:t>
                      </w:r>
                      <w:r>
                        <w:rPr>
                          <w:sz w:val="24"/>
                        </w:rPr>
                        <w:t xml:space="preserve"> the consideration of the Prudential Indicators – the Policy and Strategy were formally approved by the Council’s Executive Committee at its meeting of 1</w:t>
                      </w:r>
                      <w:r w:rsidR="0018763C">
                        <w:rPr>
                          <w:sz w:val="24"/>
                        </w:rPr>
                        <w:t>8</w:t>
                      </w:r>
                      <w:r>
                        <w:rPr>
                          <w:sz w:val="24"/>
                        </w:rPr>
                        <w:t xml:space="preserve"> February.</w:t>
                      </w:r>
                    </w:p>
                    <w:p w:rsidR="00F17A2B" w:rsidRDefault="00F17A2B" w:rsidP="00F17A2B">
                      <w:pPr>
                        <w:jc w:val="both"/>
                        <w:rPr>
                          <w:sz w:val="24"/>
                        </w:rPr>
                      </w:pPr>
                    </w:p>
                    <w:p w:rsidR="00F17A2B" w:rsidRDefault="00F17A2B" w:rsidP="00F92B50">
                      <w:pPr>
                        <w:ind w:left="426"/>
                        <w:jc w:val="both"/>
                      </w:pPr>
                    </w:p>
                    <w:p w:rsidR="00F17A2B" w:rsidRDefault="00F17A2B" w:rsidP="00F17A2B">
                      <w:pPr>
                        <w:jc w:val="both"/>
                      </w:pPr>
                    </w:p>
                  </w:txbxContent>
                </v:textbox>
              </v:shape>
            </w:pict>
          </mc:Fallback>
        </mc:AlternateContent>
      </w:r>
    </w:p>
    <w:p w:rsidR="00F17A2B" w:rsidRDefault="00F17A2B">
      <w:pPr>
        <w:ind w:left="567" w:hanging="567"/>
        <w:rPr>
          <w:b/>
          <w:bCs/>
          <w:sz w:val="24"/>
        </w:rPr>
      </w:pPr>
    </w:p>
    <w:p w:rsidR="00F17A2B" w:rsidRDefault="00F17A2B">
      <w:pPr>
        <w:ind w:left="567" w:hanging="567"/>
        <w:rPr>
          <w:b/>
          <w:bCs/>
          <w:sz w:val="24"/>
        </w:rPr>
      </w:pPr>
    </w:p>
    <w:p w:rsidR="00F17A2B" w:rsidRDefault="00F17A2B">
      <w:pPr>
        <w:ind w:left="567" w:hanging="567"/>
        <w:rPr>
          <w:b/>
          <w:bCs/>
          <w:sz w:val="24"/>
        </w:rPr>
      </w:pPr>
    </w:p>
    <w:p w:rsidR="00F17A2B" w:rsidRDefault="00F17A2B">
      <w:pPr>
        <w:ind w:left="567" w:hanging="567"/>
        <w:rPr>
          <w:b/>
          <w:bCs/>
          <w:sz w:val="24"/>
        </w:rPr>
      </w:pPr>
    </w:p>
    <w:p w:rsidR="00F17A2B" w:rsidRDefault="00F17A2B">
      <w:pPr>
        <w:ind w:left="567" w:hanging="567"/>
        <w:rPr>
          <w:b/>
          <w:bCs/>
          <w:sz w:val="24"/>
        </w:rPr>
      </w:pPr>
    </w:p>
    <w:p w:rsidR="00F17A2B" w:rsidRDefault="00F17A2B">
      <w:pPr>
        <w:ind w:left="567" w:hanging="567"/>
        <w:rPr>
          <w:b/>
          <w:bCs/>
          <w:sz w:val="24"/>
        </w:rPr>
      </w:pPr>
    </w:p>
    <w:p w:rsidR="00F17A2B" w:rsidRDefault="00F17A2B">
      <w:pPr>
        <w:ind w:left="567" w:hanging="567"/>
        <w:rPr>
          <w:b/>
          <w:bCs/>
          <w:sz w:val="24"/>
        </w:rPr>
      </w:pPr>
    </w:p>
    <w:p w:rsidR="00F17A2B" w:rsidRDefault="00F17A2B">
      <w:pPr>
        <w:ind w:left="567" w:hanging="567"/>
        <w:rPr>
          <w:b/>
          <w:bCs/>
          <w:sz w:val="24"/>
        </w:rPr>
      </w:pPr>
    </w:p>
    <w:p w:rsidR="00F17A2B" w:rsidRDefault="00F17A2B">
      <w:pPr>
        <w:ind w:left="567" w:hanging="567"/>
        <w:rPr>
          <w:b/>
          <w:bCs/>
          <w:sz w:val="24"/>
        </w:rPr>
      </w:pPr>
    </w:p>
    <w:p w:rsidR="00F17A2B" w:rsidRDefault="00F17A2B">
      <w:pPr>
        <w:ind w:left="567" w:hanging="567"/>
        <w:rPr>
          <w:b/>
          <w:bCs/>
          <w:sz w:val="24"/>
        </w:rPr>
      </w:pPr>
    </w:p>
    <w:p w:rsidR="00FA49CA" w:rsidRDefault="00FA49CA">
      <w:pPr>
        <w:jc w:val="both"/>
        <w:rPr>
          <w:b/>
          <w:bCs/>
          <w:sz w:val="24"/>
        </w:rPr>
      </w:pPr>
    </w:p>
    <w:p w:rsidR="00862A09" w:rsidRDefault="00796C80" w:rsidP="00796C80">
      <w:pPr>
        <w:ind w:left="567" w:hanging="567"/>
        <w:jc w:val="both"/>
        <w:rPr>
          <w:sz w:val="24"/>
          <w:u w:val="single"/>
        </w:rPr>
      </w:pPr>
      <w:r>
        <w:rPr>
          <w:b/>
          <w:sz w:val="24"/>
        </w:rPr>
        <w:t>2.</w:t>
      </w:r>
      <w:r>
        <w:rPr>
          <w:b/>
          <w:sz w:val="24"/>
        </w:rPr>
        <w:tab/>
      </w:r>
      <w:r w:rsidR="00330919">
        <w:rPr>
          <w:b/>
          <w:sz w:val="24"/>
          <w:u w:val="single"/>
        </w:rPr>
        <w:t>BACKGROUND</w:t>
      </w:r>
    </w:p>
    <w:p w:rsidR="00D802BA" w:rsidRDefault="00D802BA">
      <w:pPr>
        <w:tabs>
          <w:tab w:val="left" w:pos="0"/>
        </w:tabs>
        <w:jc w:val="both"/>
        <w:rPr>
          <w:rFonts w:cs="Arial"/>
          <w:sz w:val="24"/>
          <w:szCs w:val="24"/>
        </w:rPr>
      </w:pPr>
    </w:p>
    <w:p w:rsidR="00843328" w:rsidRDefault="007076DB" w:rsidP="000D05A4">
      <w:pPr>
        <w:numPr>
          <w:ilvl w:val="1"/>
          <w:numId w:val="2"/>
        </w:numPr>
        <w:tabs>
          <w:tab w:val="clear" w:pos="360"/>
          <w:tab w:val="num" w:pos="567"/>
        </w:tabs>
        <w:ind w:left="567" w:hanging="567"/>
        <w:jc w:val="both"/>
        <w:rPr>
          <w:rFonts w:cs="Arial"/>
          <w:sz w:val="24"/>
          <w:szCs w:val="24"/>
        </w:rPr>
      </w:pPr>
      <w:r>
        <w:rPr>
          <w:rFonts w:cs="Arial"/>
          <w:sz w:val="24"/>
          <w:szCs w:val="24"/>
        </w:rPr>
        <w:t>To comply with statutory requirements, the Council is required to consider (and approve) a number of ‘</w:t>
      </w:r>
      <w:r w:rsidR="008F085D">
        <w:rPr>
          <w:rFonts w:cs="Arial"/>
          <w:sz w:val="24"/>
          <w:szCs w:val="24"/>
        </w:rPr>
        <w:t>P</w:t>
      </w:r>
      <w:r>
        <w:rPr>
          <w:rFonts w:cs="Arial"/>
          <w:sz w:val="24"/>
          <w:szCs w:val="24"/>
        </w:rPr>
        <w:t xml:space="preserve">rudential </w:t>
      </w:r>
      <w:r w:rsidR="008F085D">
        <w:rPr>
          <w:rFonts w:cs="Arial"/>
          <w:sz w:val="24"/>
          <w:szCs w:val="24"/>
        </w:rPr>
        <w:t>I</w:t>
      </w:r>
      <w:r>
        <w:rPr>
          <w:rFonts w:cs="Arial"/>
          <w:sz w:val="24"/>
          <w:szCs w:val="24"/>
        </w:rPr>
        <w:t>ndicators’ primarily relating to the forthcoming financial year (201</w:t>
      </w:r>
      <w:r w:rsidR="008F257B">
        <w:rPr>
          <w:rFonts w:cs="Arial"/>
          <w:sz w:val="24"/>
          <w:szCs w:val="24"/>
        </w:rPr>
        <w:t>5</w:t>
      </w:r>
      <w:r w:rsidR="0018763C">
        <w:rPr>
          <w:rFonts w:cs="Arial"/>
          <w:sz w:val="24"/>
          <w:szCs w:val="24"/>
        </w:rPr>
        <w:t>/16</w:t>
      </w:r>
      <w:r>
        <w:rPr>
          <w:rFonts w:cs="Arial"/>
          <w:sz w:val="24"/>
          <w:szCs w:val="24"/>
        </w:rPr>
        <w:t>).</w:t>
      </w:r>
    </w:p>
    <w:p w:rsidR="007076DB" w:rsidRDefault="007076DB" w:rsidP="007076DB">
      <w:pPr>
        <w:tabs>
          <w:tab w:val="num" w:pos="567"/>
        </w:tabs>
        <w:ind w:left="567" w:hanging="567"/>
        <w:jc w:val="both"/>
        <w:rPr>
          <w:rFonts w:cs="Arial"/>
          <w:sz w:val="24"/>
          <w:szCs w:val="24"/>
        </w:rPr>
      </w:pPr>
    </w:p>
    <w:p w:rsidR="007076DB" w:rsidRDefault="007076DB" w:rsidP="00BB6D43">
      <w:pPr>
        <w:numPr>
          <w:ilvl w:val="1"/>
          <w:numId w:val="2"/>
        </w:numPr>
        <w:tabs>
          <w:tab w:val="clear" w:pos="360"/>
          <w:tab w:val="num" w:pos="567"/>
        </w:tabs>
        <w:ind w:left="567" w:hanging="567"/>
        <w:jc w:val="both"/>
        <w:rPr>
          <w:rFonts w:cs="Arial"/>
          <w:sz w:val="24"/>
          <w:szCs w:val="24"/>
        </w:rPr>
      </w:pPr>
      <w:r>
        <w:rPr>
          <w:rFonts w:cs="Arial"/>
          <w:sz w:val="24"/>
          <w:szCs w:val="24"/>
        </w:rPr>
        <w:t>This is not a new requirement it has been in existence for a number of years and is annually discharged by Council at its February meeting.</w:t>
      </w:r>
    </w:p>
    <w:p w:rsidR="007076DB" w:rsidRDefault="007076DB" w:rsidP="007076DB">
      <w:pPr>
        <w:jc w:val="both"/>
        <w:rPr>
          <w:rFonts w:cs="Arial"/>
          <w:sz w:val="24"/>
          <w:szCs w:val="24"/>
        </w:rPr>
      </w:pPr>
    </w:p>
    <w:p w:rsidR="00BD7348" w:rsidRDefault="00BD7348" w:rsidP="007076DB">
      <w:pPr>
        <w:jc w:val="both"/>
        <w:rPr>
          <w:rFonts w:cs="Arial"/>
          <w:sz w:val="24"/>
          <w:szCs w:val="24"/>
        </w:rPr>
      </w:pPr>
    </w:p>
    <w:p w:rsidR="00330919" w:rsidRDefault="003933BD" w:rsidP="00330919">
      <w:pPr>
        <w:ind w:left="567" w:hanging="567"/>
        <w:jc w:val="both"/>
        <w:rPr>
          <w:sz w:val="24"/>
          <w:u w:val="single"/>
        </w:rPr>
      </w:pPr>
      <w:r>
        <w:rPr>
          <w:b/>
          <w:sz w:val="24"/>
        </w:rPr>
        <w:t>3</w:t>
      </w:r>
      <w:r w:rsidR="00330919">
        <w:rPr>
          <w:b/>
          <w:sz w:val="24"/>
        </w:rPr>
        <w:t>.</w:t>
      </w:r>
      <w:r w:rsidR="00330919">
        <w:rPr>
          <w:b/>
          <w:sz w:val="24"/>
        </w:rPr>
        <w:tab/>
      </w:r>
      <w:r w:rsidR="00330919">
        <w:rPr>
          <w:b/>
          <w:sz w:val="24"/>
          <w:u w:val="single"/>
        </w:rPr>
        <w:t>DETAILS</w:t>
      </w:r>
    </w:p>
    <w:p w:rsidR="00843328" w:rsidRDefault="00843328">
      <w:pPr>
        <w:tabs>
          <w:tab w:val="left" w:pos="0"/>
        </w:tabs>
        <w:jc w:val="both"/>
        <w:rPr>
          <w:rFonts w:cs="Arial"/>
          <w:sz w:val="24"/>
          <w:szCs w:val="24"/>
        </w:rPr>
      </w:pPr>
    </w:p>
    <w:p w:rsidR="003933BD" w:rsidRDefault="008F085D" w:rsidP="00BB6D43">
      <w:pPr>
        <w:numPr>
          <w:ilvl w:val="1"/>
          <w:numId w:val="3"/>
        </w:numPr>
        <w:tabs>
          <w:tab w:val="clear" w:pos="360"/>
          <w:tab w:val="num" w:pos="567"/>
        </w:tabs>
        <w:ind w:left="567" w:hanging="567"/>
        <w:jc w:val="both"/>
        <w:rPr>
          <w:rFonts w:cs="Arial"/>
          <w:sz w:val="24"/>
          <w:szCs w:val="24"/>
        </w:rPr>
      </w:pPr>
      <w:r>
        <w:rPr>
          <w:rFonts w:cs="Arial"/>
          <w:sz w:val="24"/>
          <w:szCs w:val="24"/>
        </w:rPr>
        <w:t>The ‘P</w:t>
      </w:r>
      <w:r w:rsidR="00760A96">
        <w:rPr>
          <w:rFonts w:cs="Arial"/>
          <w:sz w:val="24"/>
          <w:szCs w:val="24"/>
        </w:rPr>
        <w:t xml:space="preserve">rudential </w:t>
      </w:r>
      <w:r>
        <w:rPr>
          <w:rFonts w:cs="Arial"/>
          <w:sz w:val="24"/>
          <w:szCs w:val="24"/>
        </w:rPr>
        <w:t>I</w:t>
      </w:r>
      <w:r w:rsidR="00760A96">
        <w:rPr>
          <w:rFonts w:cs="Arial"/>
          <w:sz w:val="24"/>
          <w:szCs w:val="24"/>
        </w:rPr>
        <w:t xml:space="preserve">ndicators’ are part of a national data set that </w:t>
      </w:r>
      <w:proofErr w:type="gramStart"/>
      <w:r w:rsidR="00760A96">
        <w:rPr>
          <w:rFonts w:cs="Arial"/>
          <w:sz w:val="24"/>
          <w:szCs w:val="24"/>
        </w:rPr>
        <w:t>require</w:t>
      </w:r>
      <w:proofErr w:type="gramEnd"/>
      <w:r w:rsidR="00760A96">
        <w:rPr>
          <w:rFonts w:cs="Arial"/>
          <w:sz w:val="24"/>
          <w:szCs w:val="24"/>
        </w:rPr>
        <w:t xml:space="preserve"> annual consideration by Council.</w:t>
      </w:r>
    </w:p>
    <w:p w:rsidR="00760A96" w:rsidRDefault="00760A96" w:rsidP="00760A96">
      <w:pPr>
        <w:tabs>
          <w:tab w:val="left" w:pos="567"/>
        </w:tabs>
        <w:jc w:val="both"/>
        <w:rPr>
          <w:rFonts w:cs="Arial"/>
          <w:sz w:val="24"/>
          <w:szCs w:val="24"/>
        </w:rPr>
      </w:pPr>
    </w:p>
    <w:p w:rsidR="00760A96" w:rsidRDefault="00760A96" w:rsidP="00BB6D43">
      <w:pPr>
        <w:numPr>
          <w:ilvl w:val="1"/>
          <w:numId w:val="3"/>
        </w:numPr>
        <w:tabs>
          <w:tab w:val="clear" w:pos="360"/>
          <w:tab w:val="num" w:pos="567"/>
        </w:tabs>
        <w:ind w:left="567" w:hanging="567"/>
        <w:jc w:val="both"/>
        <w:rPr>
          <w:rFonts w:cs="Arial"/>
          <w:sz w:val="24"/>
          <w:szCs w:val="24"/>
        </w:rPr>
      </w:pPr>
      <w:r>
        <w:rPr>
          <w:rFonts w:cs="Arial"/>
          <w:sz w:val="24"/>
          <w:szCs w:val="24"/>
        </w:rPr>
        <w:t>They are designed to provide a robust yet flexible framework against which a local authority’s treasury management activities are undertaken and monitored.</w:t>
      </w:r>
    </w:p>
    <w:p w:rsidR="00760A96" w:rsidRDefault="00760A96" w:rsidP="00760A96">
      <w:pPr>
        <w:jc w:val="both"/>
        <w:rPr>
          <w:rFonts w:cs="Arial"/>
          <w:sz w:val="24"/>
          <w:szCs w:val="24"/>
        </w:rPr>
      </w:pPr>
    </w:p>
    <w:p w:rsidR="00760A96" w:rsidRDefault="008F085D" w:rsidP="00BB6D43">
      <w:pPr>
        <w:numPr>
          <w:ilvl w:val="1"/>
          <w:numId w:val="3"/>
        </w:numPr>
        <w:tabs>
          <w:tab w:val="clear" w:pos="360"/>
          <w:tab w:val="num" w:pos="567"/>
        </w:tabs>
        <w:ind w:left="567" w:hanging="567"/>
        <w:jc w:val="both"/>
        <w:rPr>
          <w:rFonts w:cs="Arial"/>
          <w:sz w:val="24"/>
          <w:szCs w:val="24"/>
        </w:rPr>
      </w:pPr>
      <w:r>
        <w:rPr>
          <w:rFonts w:cs="Arial"/>
          <w:sz w:val="24"/>
          <w:szCs w:val="24"/>
        </w:rPr>
        <w:t>The P</w:t>
      </w:r>
      <w:r w:rsidR="00760A96">
        <w:rPr>
          <w:rFonts w:cs="Arial"/>
          <w:sz w:val="24"/>
          <w:szCs w:val="24"/>
        </w:rPr>
        <w:t xml:space="preserve">rudential </w:t>
      </w:r>
      <w:r>
        <w:rPr>
          <w:rFonts w:cs="Arial"/>
          <w:sz w:val="24"/>
          <w:szCs w:val="24"/>
        </w:rPr>
        <w:t>I</w:t>
      </w:r>
      <w:r w:rsidR="00760A96">
        <w:rPr>
          <w:rFonts w:cs="Arial"/>
          <w:sz w:val="24"/>
          <w:szCs w:val="24"/>
        </w:rPr>
        <w:t xml:space="preserve">ndicators themselves are highly technical in nature and some in calculation. The majority are derived directly from the Council’s budgets for the year (in relation to cash flow estimates and capital expenditure plans). As such, they result </w:t>
      </w:r>
      <w:r>
        <w:rPr>
          <w:rFonts w:cs="Arial"/>
          <w:sz w:val="24"/>
          <w:szCs w:val="24"/>
        </w:rPr>
        <w:t>from</w:t>
      </w:r>
      <w:r w:rsidR="00760A96">
        <w:rPr>
          <w:rFonts w:cs="Arial"/>
          <w:sz w:val="24"/>
          <w:szCs w:val="24"/>
        </w:rPr>
        <w:t xml:space="preserve"> applying set calculations to the Councils budget and spending plans to arrive at a set of indictors that require formal </w:t>
      </w:r>
      <w:r>
        <w:rPr>
          <w:rFonts w:cs="Arial"/>
          <w:sz w:val="24"/>
          <w:szCs w:val="24"/>
        </w:rPr>
        <w:t>C</w:t>
      </w:r>
      <w:r w:rsidR="00760A96">
        <w:rPr>
          <w:rFonts w:cs="Arial"/>
          <w:sz w:val="24"/>
          <w:szCs w:val="24"/>
        </w:rPr>
        <w:t>ouncil approval.</w:t>
      </w:r>
    </w:p>
    <w:p w:rsidR="00760A96" w:rsidRDefault="00760A96" w:rsidP="00760A96">
      <w:pPr>
        <w:jc w:val="both"/>
        <w:rPr>
          <w:rFonts w:cs="Arial"/>
          <w:sz w:val="24"/>
          <w:szCs w:val="24"/>
        </w:rPr>
      </w:pPr>
    </w:p>
    <w:p w:rsidR="00760A96" w:rsidRDefault="00A614EB" w:rsidP="00BB6D43">
      <w:pPr>
        <w:numPr>
          <w:ilvl w:val="1"/>
          <w:numId w:val="3"/>
        </w:numPr>
        <w:tabs>
          <w:tab w:val="clear" w:pos="360"/>
          <w:tab w:val="num" w:pos="567"/>
        </w:tabs>
        <w:ind w:left="567" w:hanging="567"/>
        <w:jc w:val="both"/>
        <w:rPr>
          <w:rFonts w:cs="Arial"/>
          <w:sz w:val="24"/>
          <w:szCs w:val="24"/>
        </w:rPr>
      </w:pPr>
      <w:r>
        <w:rPr>
          <w:rFonts w:cs="Arial"/>
          <w:sz w:val="24"/>
          <w:szCs w:val="24"/>
        </w:rPr>
        <w:t>Appendix A</w:t>
      </w:r>
      <w:r w:rsidR="00760A96">
        <w:rPr>
          <w:rFonts w:cs="Arial"/>
          <w:sz w:val="24"/>
          <w:szCs w:val="24"/>
        </w:rPr>
        <w:t xml:space="preserve"> contains the full list of </w:t>
      </w:r>
      <w:r w:rsidR="008F085D">
        <w:rPr>
          <w:rFonts w:cs="Arial"/>
          <w:sz w:val="24"/>
          <w:szCs w:val="24"/>
        </w:rPr>
        <w:t>P</w:t>
      </w:r>
      <w:r w:rsidR="00760A96">
        <w:rPr>
          <w:rFonts w:cs="Arial"/>
          <w:sz w:val="24"/>
          <w:szCs w:val="24"/>
        </w:rPr>
        <w:t xml:space="preserve">rudential </w:t>
      </w:r>
      <w:r w:rsidR="008F085D">
        <w:rPr>
          <w:rFonts w:cs="Arial"/>
          <w:sz w:val="24"/>
          <w:szCs w:val="24"/>
        </w:rPr>
        <w:t>I</w:t>
      </w:r>
      <w:r w:rsidR="00760A96">
        <w:rPr>
          <w:rFonts w:cs="Arial"/>
          <w:sz w:val="24"/>
          <w:szCs w:val="24"/>
        </w:rPr>
        <w:t>ndicator</w:t>
      </w:r>
      <w:r w:rsidR="008F085D">
        <w:rPr>
          <w:rFonts w:cs="Arial"/>
          <w:sz w:val="24"/>
          <w:szCs w:val="24"/>
        </w:rPr>
        <w:t xml:space="preserve">s that require Council approval and </w:t>
      </w:r>
      <w:r w:rsidR="00760A96">
        <w:rPr>
          <w:rFonts w:cs="Arial"/>
          <w:sz w:val="24"/>
          <w:szCs w:val="24"/>
        </w:rPr>
        <w:t>also contains an explanation of what each of the main indicators represent.</w:t>
      </w:r>
    </w:p>
    <w:p w:rsidR="00760A96" w:rsidRDefault="00760A96" w:rsidP="00760A96">
      <w:pPr>
        <w:jc w:val="both"/>
        <w:rPr>
          <w:rFonts w:cs="Arial"/>
          <w:sz w:val="24"/>
          <w:szCs w:val="24"/>
        </w:rPr>
      </w:pPr>
    </w:p>
    <w:p w:rsidR="00760A96" w:rsidRDefault="00760A96" w:rsidP="000D05A4">
      <w:pPr>
        <w:numPr>
          <w:ilvl w:val="1"/>
          <w:numId w:val="3"/>
        </w:numPr>
        <w:tabs>
          <w:tab w:val="clear" w:pos="360"/>
          <w:tab w:val="num" w:pos="567"/>
        </w:tabs>
        <w:ind w:left="567" w:hanging="567"/>
        <w:jc w:val="both"/>
        <w:rPr>
          <w:rFonts w:cs="Arial"/>
          <w:sz w:val="24"/>
          <w:szCs w:val="24"/>
        </w:rPr>
      </w:pPr>
      <w:r>
        <w:rPr>
          <w:rFonts w:cs="Arial"/>
          <w:sz w:val="24"/>
          <w:szCs w:val="24"/>
        </w:rPr>
        <w:t xml:space="preserve">The indicators are an integral element of the Council’s Treasury </w:t>
      </w:r>
      <w:r w:rsidR="008F085D">
        <w:rPr>
          <w:rFonts w:cs="Arial"/>
          <w:sz w:val="24"/>
          <w:szCs w:val="24"/>
        </w:rPr>
        <w:t>M</w:t>
      </w:r>
      <w:r>
        <w:rPr>
          <w:rFonts w:cs="Arial"/>
          <w:sz w:val="24"/>
          <w:szCs w:val="24"/>
        </w:rPr>
        <w:t>anagement Policy and Strategy that was formally approved by the Executive Committee at its meeting of 1</w:t>
      </w:r>
      <w:r w:rsidR="0018763C">
        <w:rPr>
          <w:rFonts w:cs="Arial"/>
          <w:sz w:val="24"/>
          <w:szCs w:val="24"/>
        </w:rPr>
        <w:t>8</w:t>
      </w:r>
      <w:r>
        <w:rPr>
          <w:rFonts w:cs="Arial"/>
          <w:sz w:val="24"/>
          <w:szCs w:val="24"/>
        </w:rPr>
        <w:t xml:space="preserve"> February 201</w:t>
      </w:r>
      <w:r w:rsidR="0018763C">
        <w:rPr>
          <w:rFonts w:cs="Arial"/>
          <w:sz w:val="24"/>
          <w:szCs w:val="24"/>
        </w:rPr>
        <w:t>5</w:t>
      </w:r>
      <w:r>
        <w:rPr>
          <w:rFonts w:cs="Arial"/>
          <w:sz w:val="24"/>
          <w:szCs w:val="24"/>
        </w:rPr>
        <w:t xml:space="preserve">. Both of these documents are reproduced at Appendix </w:t>
      </w:r>
      <w:r w:rsidR="00A614EB">
        <w:rPr>
          <w:rFonts w:cs="Arial"/>
          <w:sz w:val="24"/>
          <w:szCs w:val="24"/>
        </w:rPr>
        <w:t>B</w:t>
      </w:r>
      <w:r>
        <w:rPr>
          <w:rFonts w:cs="Arial"/>
          <w:sz w:val="24"/>
          <w:szCs w:val="24"/>
        </w:rPr>
        <w:t xml:space="preserve"> for background information.</w:t>
      </w:r>
    </w:p>
    <w:p w:rsidR="001F3D13" w:rsidRDefault="001F3D13" w:rsidP="001F3D13">
      <w:pPr>
        <w:pStyle w:val="ListParagraph"/>
        <w:rPr>
          <w:rFonts w:cs="Arial"/>
          <w:sz w:val="24"/>
          <w:szCs w:val="24"/>
        </w:rPr>
      </w:pPr>
    </w:p>
    <w:p w:rsidR="001F3D13" w:rsidRDefault="001F3D13" w:rsidP="000D05A4">
      <w:pPr>
        <w:numPr>
          <w:ilvl w:val="1"/>
          <w:numId w:val="3"/>
        </w:numPr>
        <w:tabs>
          <w:tab w:val="clear" w:pos="360"/>
          <w:tab w:val="num" w:pos="567"/>
        </w:tabs>
        <w:ind w:left="567" w:hanging="567"/>
        <w:jc w:val="both"/>
        <w:rPr>
          <w:rFonts w:cs="Arial"/>
          <w:sz w:val="24"/>
          <w:szCs w:val="24"/>
        </w:rPr>
      </w:pPr>
      <w:r>
        <w:rPr>
          <w:rFonts w:cs="Arial"/>
          <w:sz w:val="24"/>
          <w:szCs w:val="24"/>
        </w:rPr>
        <w:t>The formal approval of the Prudential Indicators takes place each year at the same meeting as which the Council considers the budget. If capital investment opportunities arise during the year that would result in the indicators being breached, Council would need to amend the relevant indicators ‘in year’.</w:t>
      </w:r>
    </w:p>
    <w:p w:rsidR="00B53923" w:rsidRDefault="00B53923" w:rsidP="00650233">
      <w:pPr>
        <w:jc w:val="both"/>
        <w:rPr>
          <w:sz w:val="24"/>
        </w:rPr>
      </w:pPr>
    </w:p>
    <w:p w:rsidR="00BD7348" w:rsidRDefault="00BD7348" w:rsidP="00650233">
      <w:pPr>
        <w:jc w:val="both"/>
        <w:rPr>
          <w:sz w:val="24"/>
        </w:rPr>
      </w:pPr>
    </w:p>
    <w:p w:rsidR="00605B99" w:rsidRPr="004771E9" w:rsidRDefault="003933BD" w:rsidP="00E0385A">
      <w:pPr>
        <w:tabs>
          <w:tab w:val="left" w:pos="567"/>
        </w:tabs>
        <w:jc w:val="both"/>
        <w:rPr>
          <w:b/>
          <w:sz w:val="24"/>
        </w:rPr>
      </w:pPr>
      <w:r>
        <w:rPr>
          <w:b/>
          <w:sz w:val="24"/>
        </w:rPr>
        <w:t>4</w:t>
      </w:r>
      <w:r w:rsidR="00E0385A">
        <w:rPr>
          <w:b/>
          <w:sz w:val="24"/>
        </w:rPr>
        <w:t>.</w:t>
      </w:r>
      <w:r w:rsidR="00605B99" w:rsidRPr="004771E9">
        <w:rPr>
          <w:b/>
          <w:sz w:val="24"/>
        </w:rPr>
        <w:tab/>
      </w:r>
      <w:r w:rsidR="00605B99" w:rsidRPr="004771E9">
        <w:rPr>
          <w:b/>
          <w:sz w:val="24"/>
          <w:u w:val="single"/>
        </w:rPr>
        <w:t>CONSULTATION AND CUSTOMER IMPACT</w:t>
      </w:r>
    </w:p>
    <w:p w:rsidR="00605B99" w:rsidRPr="004771E9" w:rsidRDefault="00605B99" w:rsidP="00605B99">
      <w:pPr>
        <w:ind w:left="567" w:hanging="567"/>
        <w:jc w:val="both"/>
        <w:rPr>
          <w:b/>
          <w:sz w:val="24"/>
        </w:rPr>
      </w:pPr>
    </w:p>
    <w:p w:rsidR="004771E9" w:rsidRDefault="006940DD" w:rsidP="006940DD">
      <w:pPr>
        <w:numPr>
          <w:ilvl w:val="1"/>
          <w:numId w:val="4"/>
        </w:numPr>
        <w:jc w:val="both"/>
        <w:rPr>
          <w:sz w:val="24"/>
        </w:rPr>
      </w:pPr>
      <w:r>
        <w:rPr>
          <w:sz w:val="24"/>
        </w:rPr>
        <w:t>In terms of Treasury Management activity, there is no direct customer impact.</w:t>
      </w:r>
    </w:p>
    <w:p w:rsidR="006940DD" w:rsidRDefault="006940DD" w:rsidP="006940DD">
      <w:pPr>
        <w:jc w:val="both"/>
        <w:rPr>
          <w:sz w:val="24"/>
        </w:rPr>
      </w:pPr>
    </w:p>
    <w:p w:rsidR="00D3632F" w:rsidRPr="004771E9" w:rsidRDefault="00D3632F" w:rsidP="006940DD">
      <w:pPr>
        <w:jc w:val="both"/>
        <w:rPr>
          <w:sz w:val="24"/>
        </w:rPr>
      </w:pPr>
    </w:p>
    <w:p w:rsidR="00605B99" w:rsidRPr="004771E9" w:rsidRDefault="003933BD" w:rsidP="00E0385A">
      <w:pPr>
        <w:tabs>
          <w:tab w:val="left" w:pos="567"/>
        </w:tabs>
        <w:jc w:val="both"/>
        <w:rPr>
          <w:b/>
          <w:sz w:val="24"/>
        </w:rPr>
      </w:pPr>
      <w:r>
        <w:rPr>
          <w:b/>
          <w:sz w:val="24"/>
        </w:rPr>
        <w:t>5</w:t>
      </w:r>
      <w:r w:rsidR="00E0385A">
        <w:rPr>
          <w:b/>
          <w:sz w:val="24"/>
        </w:rPr>
        <w:t>.</w:t>
      </w:r>
      <w:r w:rsidR="00605B99" w:rsidRPr="004771E9">
        <w:rPr>
          <w:b/>
          <w:sz w:val="24"/>
        </w:rPr>
        <w:t xml:space="preserve"> </w:t>
      </w:r>
      <w:r w:rsidR="00605B99" w:rsidRPr="004771E9">
        <w:rPr>
          <w:b/>
          <w:sz w:val="24"/>
        </w:rPr>
        <w:tab/>
      </w:r>
      <w:r w:rsidR="00605B99" w:rsidRPr="004771E9">
        <w:rPr>
          <w:b/>
          <w:sz w:val="24"/>
          <w:u w:val="single"/>
        </w:rPr>
        <w:t>POLICY IMPLICATIONS</w:t>
      </w:r>
    </w:p>
    <w:p w:rsidR="00605B99" w:rsidRPr="004771E9" w:rsidRDefault="00605B99" w:rsidP="00605B99">
      <w:pPr>
        <w:ind w:left="567" w:hanging="567"/>
        <w:jc w:val="both"/>
        <w:rPr>
          <w:b/>
          <w:sz w:val="24"/>
        </w:rPr>
      </w:pPr>
    </w:p>
    <w:p w:rsidR="00605B99" w:rsidRDefault="00D04AD8" w:rsidP="006940DD">
      <w:pPr>
        <w:tabs>
          <w:tab w:val="left" w:pos="567"/>
        </w:tabs>
        <w:ind w:left="567" w:hanging="567"/>
        <w:jc w:val="both"/>
        <w:rPr>
          <w:sz w:val="24"/>
        </w:rPr>
      </w:pPr>
      <w:r>
        <w:rPr>
          <w:sz w:val="24"/>
        </w:rPr>
        <w:t>5.1</w:t>
      </w:r>
      <w:r>
        <w:rPr>
          <w:sz w:val="24"/>
        </w:rPr>
        <w:tab/>
        <w:t>The P</w:t>
      </w:r>
      <w:r w:rsidR="006940DD">
        <w:rPr>
          <w:sz w:val="24"/>
        </w:rPr>
        <w:t xml:space="preserve">rudential </w:t>
      </w:r>
      <w:r>
        <w:rPr>
          <w:sz w:val="24"/>
        </w:rPr>
        <w:t>I</w:t>
      </w:r>
      <w:r w:rsidR="006940DD">
        <w:rPr>
          <w:sz w:val="24"/>
        </w:rPr>
        <w:t>ndicators are in accordance with the Council’s Treasury Management Policy and Strategy.</w:t>
      </w:r>
    </w:p>
    <w:p w:rsidR="00D3632F" w:rsidRDefault="00D3632F" w:rsidP="00605B99">
      <w:pPr>
        <w:jc w:val="both"/>
        <w:rPr>
          <w:sz w:val="24"/>
        </w:rPr>
      </w:pPr>
    </w:p>
    <w:p w:rsidR="00D3632F" w:rsidRPr="004771E9" w:rsidRDefault="00D3632F" w:rsidP="00605B99">
      <w:pPr>
        <w:jc w:val="both"/>
        <w:rPr>
          <w:sz w:val="24"/>
        </w:rPr>
      </w:pPr>
    </w:p>
    <w:p w:rsidR="00605B99" w:rsidRPr="004771E9" w:rsidRDefault="003933BD" w:rsidP="00E0385A">
      <w:pPr>
        <w:tabs>
          <w:tab w:val="left" w:pos="567"/>
        </w:tabs>
        <w:jc w:val="both"/>
        <w:rPr>
          <w:b/>
          <w:sz w:val="24"/>
        </w:rPr>
      </w:pPr>
      <w:r>
        <w:rPr>
          <w:b/>
          <w:sz w:val="24"/>
        </w:rPr>
        <w:t>6.</w:t>
      </w:r>
      <w:r w:rsidR="00605B99" w:rsidRPr="004771E9">
        <w:rPr>
          <w:b/>
          <w:sz w:val="24"/>
        </w:rPr>
        <w:t xml:space="preserve"> </w:t>
      </w:r>
      <w:r w:rsidR="00605B99" w:rsidRPr="004771E9">
        <w:rPr>
          <w:b/>
          <w:sz w:val="24"/>
        </w:rPr>
        <w:tab/>
      </w:r>
      <w:r w:rsidR="00605B99" w:rsidRPr="004771E9">
        <w:rPr>
          <w:b/>
          <w:sz w:val="24"/>
          <w:u w:val="single"/>
        </w:rPr>
        <w:t>USE OF RESOURCES</w:t>
      </w:r>
      <w:r w:rsidR="00605B99" w:rsidRPr="004771E9">
        <w:rPr>
          <w:b/>
          <w:sz w:val="24"/>
        </w:rPr>
        <w:tab/>
      </w:r>
      <w:r w:rsidR="00605B99" w:rsidRPr="004771E9">
        <w:rPr>
          <w:b/>
          <w:sz w:val="24"/>
          <w:u w:val="single"/>
        </w:rPr>
        <w:br/>
      </w:r>
    </w:p>
    <w:p w:rsidR="00605B99" w:rsidRDefault="00A91D3C" w:rsidP="00A91D3C">
      <w:pPr>
        <w:tabs>
          <w:tab w:val="left" w:pos="567"/>
        </w:tabs>
        <w:ind w:left="567" w:hanging="567"/>
        <w:jc w:val="both"/>
        <w:rPr>
          <w:sz w:val="24"/>
        </w:rPr>
      </w:pPr>
      <w:r>
        <w:rPr>
          <w:sz w:val="24"/>
        </w:rPr>
        <w:t>6.1</w:t>
      </w:r>
      <w:r>
        <w:rPr>
          <w:sz w:val="24"/>
        </w:rPr>
        <w:tab/>
        <w:t xml:space="preserve">The Treasury Management Policy and Strategy (together with the </w:t>
      </w:r>
      <w:r w:rsidR="008F085D">
        <w:rPr>
          <w:sz w:val="24"/>
        </w:rPr>
        <w:t>P</w:t>
      </w:r>
      <w:r>
        <w:rPr>
          <w:sz w:val="24"/>
        </w:rPr>
        <w:t xml:space="preserve">rudential </w:t>
      </w:r>
      <w:r w:rsidR="008F085D">
        <w:rPr>
          <w:sz w:val="24"/>
        </w:rPr>
        <w:t>I</w:t>
      </w:r>
      <w:r>
        <w:rPr>
          <w:sz w:val="24"/>
        </w:rPr>
        <w:t>ndictors) provide the framework and parameters that are required to shape the Council’s Treasury Management activities.</w:t>
      </w:r>
    </w:p>
    <w:p w:rsidR="000D05A4" w:rsidRDefault="000D05A4" w:rsidP="00605B99">
      <w:pPr>
        <w:jc w:val="both"/>
        <w:rPr>
          <w:sz w:val="24"/>
        </w:rPr>
      </w:pPr>
    </w:p>
    <w:p w:rsidR="00605B99" w:rsidRDefault="00605B99" w:rsidP="00605B99">
      <w:pPr>
        <w:jc w:val="both"/>
        <w:rPr>
          <w:sz w:val="24"/>
        </w:rPr>
      </w:pPr>
    </w:p>
    <w:p w:rsidR="00862A09" w:rsidRDefault="0018018D">
      <w:pPr>
        <w:jc w:val="both"/>
        <w:rPr>
          <w:rFonts w:cs="Arial"/>
          <w:sz w:val="24"/>
          <w:szCs w:val="24"/>
        </w:rPr>
      </w:pPr>
      <w:r>
        <w:rPr>
          <w:rFonts w:cs="Arial"/>
          <w:noProof/>
          <w:szCs w:val="24"/>
          <w:lang w:eastAsia="en-GB"/>
        </w:rPr>
        <mc:AlternateContent>
          <mc:Choice Requires="wps">
            <w:drawing>
              <wp:anchor distT="0" distB="0" distL="114300" distR="114300" simplePos="0" relativeHeight="251657216" behindDoc="0" locked="0" layoutInCell="1" allowOverlap="1">
                <wp:simplePos x="0" y="0"/>
                <wp:positionH relativeFrom="column">
                  <wp:posOffset>-118745</wp:posOffset>
                </wp:positionH>
                <wp:positionV relativeFrom="paragraph">
                  <wp:posOffset>-6350</wp:posOffset>
                </wp:positionV>
                <wp:extent cx="6286500" cy="14808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80820"/>
                        </a:xfrm>
                        <a:prstGeom prst="rect">
                          <a:avLst/>
                        </a:prstGeom>
                        <a:solidFill>
                          <a:srgbClr val="FFFFFF"/>
                        </a:solidFill>
                        <a:ln w="9525">
                          <a:solidFill>
                            <a:srgbClr val="000000"/>
                          </a:solidFill>
                          <a:miter lim="800000"/>
                          <a:headEnd/>
                          <a:tailEnd/>
                        </a:ln>
                      </wps:spPr>
                      <wps:txbx>
                        <w:txbxContent>
                          <w:p w:rsidR="00EF4A66" w:rsidRPr="00A150C2" w:rsidRDefault="003933BD" w:rsidP="00A150C2">
                            <w:pPr>
                              <w:ind w:left="567" w:hanging="567"/>
                              <w:jc w:val="both"/>
                              <w:rPr>
                                <w:sz w:val="28"/>
                              </w:rPr>
                            </w:pPr>
                            <w:r>
                              <w:rPr>
                                <w:b/>
                                <w:sz w:val="24"/>
                              </w:rPr>
                              <w:t>7</w:t>
                            </w:r>
                            <w:r w:rsidR="00EF4A66">
                              <w:rPr>
                                <w:b/>
                                <w:sz w:val="24"/>
                              </w:rPr>
                              <w:t>.</w:t>
                            </w:r>
                            <w:r w:rsidR="00EF4A66">
                              <w:rPr>
                                <w:b/>
                                <w:sz w:val="24"/>
                              </w:rPr>
                              <w:tab/>
                            </w:r>
                            <w:r w:rsidR="00EF4A66">
                              <w:rPr>
                                <w:b/>
                                <w:sz w:val="24"/>
                                <w:u w:val="single"/>
                              </w:rPr>
                              <w:t>RECOMMENDATIONS</w:t>
                            </w:r>
                            <w:r w:rsidR="00EF4A66">
                              <w:rPr>
                                <w:rFonts w:cs="Arial"/>
                                <w:b/>
                                <w:bCs/>
                                <w:sz w:val="24"/>
                                <w:szCs w:val="24"/>
                              </w:rPr>
                              <w:tab/>
                            </w:r>
                            <w:r w:rsidR="00EF4A66">
                              <w:rPr>
                                <w:rFonts w:cs="Arial"/>
                                <w:b/>
                                <w:bCs/>
                                <w:sz w:val="24"/>
                                <w:szCs w:val="24"/>
                              </w:rPr>
                              <w:br/>
                            </w:r>
                          </w:p>
                          <w:p w:rsidR="00E0385A" w:rsidRDefault="003933BD" w:rsidP="00BD7348">
                            <w:pPr>
                              <w:tabs>
                                <w:tab w:val="left" w:pos="567"/>
                              </w:tabs>
                              <w:ind w:left="1134" w:hanging="1134"/>
                              <w:jc w:val="both"/>
                              <w:rPr>
                                <w:rFonts w:cs="Arial"/>
                                <w:sz w:val="24"/>
                                <w:szCs w:val="24"/>
                              </w:rPr>
                            </w:pPr>
                            <w:r>
                              <w:rPr>
                                <w:rFonts w:cs="Arial"/>
                                <w:sz w:val="24"/>
                                <w:szCs w:val="24"/>
                              </w:rPr>
                              <w:t>7</w:t>
                            </w:r>
                            <w:r w:rsidR="00E0385A">
                              <w:rPr>
                                <w:rFonts w:cs="Arial"/>
                                <w:sz w:val="24"/>
                                <w:szCs w:val="24"/>
                              </w:rPr>
                              <w:t>.1</w:t>
                            </w:r>
                            <w:r w:rsidR="00E0385A">
                              <w:rPr>
                                <w:rFonts w:cs="Arial"/>
                                <w:sz w:val="24"/>
                                <w:szCs w:val="24"/>
                              </w:rPr>
                              <w:tab/>
                              <w:t>That Council approves the Prudential Indic</w:t>
                            </w:r>
                            <w:r w:rsidR="00A614EB">
                              <w:rPr>
                                <w:rFonts w:cs="Arial"/>
                                <w:sz w:val="24"/>
                                <w:szCs w:val="24"/>
                              </w:rPr>
                              <w:t>ators (as detailed in Appendix A</w:t>
                            </w:r>
                            <w:r w:rsidR="00E0385A">
                              <w:rPr>
                                <w:rFonts w:cs="Arial"/>
                                <w:sz w:val="24"/>
                                <w:szCs w:val="24"/>
                              </w:rPr>
                              <w:t>)</w:t>
                            </w:r>
                          </w:p>
                          <w:p w:rsidR="00E0385A" w:rsidRDefault="00E0385A" w:rsidP="00A07679">
                            <w:pPr>
                              <w:tabs>
                                <w:tab w:val="left" w:pos="1134"/>
                              </w:tabs>
                              <w:ind w:left="1134" w:hanging="414"/>
                              <w:jc w:val="both"/>
                              <w:rPr>
                                <w:rFonts w:cs="Arial"/>
                                <w:sz w:val="24"/>
                                <w:szCs w:val="24"/>
                              </w:rPr>
                            </w:pPr>
                          </w:p>
                          <w:p w:rsidR="00EF4A66" w:rsidRDefault="003933BD" w:rsidP="00BD7348">
                            <w:pPr>
                              <w:ind w:left="567" w:hanging="567"/>
                              <w:jc w:val="both"/>
                              <w:rPr>
                                <w:rFonts w:cs="Arial"/>
                                <w:sz w:val="24"/>
                                <w:szCs w:val="24"/>
                              </w:rPr>
                            </w:pPr>
                            <w:r>
                              <w:rPr>
                                <w:rFonts w:cs="Arial"/>
                                <w:sz w:val="24"/>
                                <w:szCs w:val="24"/>
                              </w:rPr>
                              <w:t>7</w:t>
                            </w:r>
                            <w:r w:rsidR="00E0385A">
                              <w:rPr>
                                <w:rFonts w:cs="Arial"/>
                                <w:sz w:val="24"/>
                                <w:szCs w:val="24"/>
                              </w:rPr>
                              <w:t>.2</w:t>
                            </w:r>
                            <w:r w:rsidR="00E0385A">
                              <w:rPr>
                                <w:rFonts w:cs="Arial"/>
                                <w:sz w:val="24"/>
                                <w:szCs w:val="24"/>
                              </w:rPr>
                              <w:tab/>
                              <w:t xml:space="preserve">That Council notes the Treasury Management Policy and Strategy (as detailed in Appendix </w:t>
                            </w:r>
                            <w:r w:rsidR="00A614EB">
                              <w:rPr>
                                <w:rFonts w:cs="Arial"/>
                                <w:sz w:val="24"/>
                                <w:szCs w:val="24"/>
                              </w:rPr>
                              <w:t>B</w:t>
                            </w:r>
                            <w:r w:rsidR="00E0385A">
                              <w:rPr>
                                <w:rFonts w:cs="Arial"/>
                                <w:sz w:val="24"/>
                                <w:szCs w:val="24"/>
                              </w:rPr>
                              <w:t>)</w:t>
                            </w:r>
                            <w:r w:rsidR="00AE2DD8">
                              <w:rPr>
                                <w:rFonts w:cs="Arial"/>
                                <w:sz w:val="24"/>
                                <w:szCs w:val="24"/>
                              </w:rPr>
                              <w:tab/>
                            </w:r>
                            <w:r w:rsidR="00AE2DD8">
                              <w:rPr>
                                <w:rFonts w:cs="Arial"/>
                                <w:sz w:val="24"/>
                                <w:szCs w:val="24"/>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9.35pt;margin-top:-.5pt;width:495pt;height:1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ywLQIAAFgEAAAOAAAAZHJzL2Uyb0RvYy54bWysVMGO0zAQvSPxD5bvNGnUlm7UdLV0KUJa&#10;FqRdPsBxnMTC8RjbbVK+nrGTLRFwQuRg2Z7x85v3xtndDp0iZ2GdBF3Q5SKlRGgOldRNQb8+H99s&#10;KXGe6Yop0KKgF+Ho7f71q11vcpFBC6oSliCIdnlvCtp6b/IkcbwVHXMLMEJjsAbbMY9L2ySVZT2i&#10;dyrJ0nST9GArY4EL53D3fgzSfcSva8H957p2whNVUOTm42jjWIYx2e9Y3lhmWsknGuwfWHRMarz0&#10;CnXPPCMnK/+A6iS34KD2Cw5dAnUtuYg1YDXL9LdqnlpmRKwFxXHmKpP7f7D88fzFElmhd5Ro1qFF&#10;z2Lw5B0MJAvq9MblmPRkMM0PuB0yQ6XOPAD/5oiGQ8t0I+6shb4VrEJ2y3AymR0dcVwAKftPUOE1&#10;7OQhAg217QIgikEQHV26XJ0JVDhubrLtZp1iiGNsudqm2yx6l7D85bixzn8Q0JEwKahF6yM8Oz84&#10;H+iw/CUl0gclq6NUKi5sUx6UJWeGbXKMX6wAq5ynKU36gt6ss/WowDzm5hBp/P4G0UmP/a5kV9Dt&#10;NYnlQbf3uord6JlU4xwpKz0JGbQbVfRDOUyOTf6UUF1QWQtje+NzxEkL9gclPbZ2Qd33E7OCEvVR&#10;ozs3y9UqvIW4WK3fopTEziPlPMI0R6iCekrG6cGP7+dkrGxavGnsBw136Ggto9bB+pHVRB/bN1ow&#10;PbXwPubrmPXrh7D/CQAA//8DAFBLAwQUAAYACAAAACEAU7yZqOAAAAAKAQAADwAAAGRycy9kb3du&#10;cmV2LnhtbEyPy07DMBBF90j8gzVIbFDrPFCThjgVQgLBrhQEWzd2kwh7HGw3DX/PdAW7Gc3RnXPr&#10;zWwNm7QPg0MB6TIBprF1asBOwPvb46IEFqJEJY1DLeBHB9g0lxe1rJQ74auedrFjFIKhkgL6GMeK&#10;89D22sqwdKNGuh2ctzLS6juuvDxRuDU8S5IVt3JA+tDLUT/0uv3aHa2A8vZ5+gwv+fajXR3MOt4U&#10;09O3F+L6ar6/Axb1HP9gOOuTOjTktHdHVIEZAYu0LAg9D9SJgHWR5sD2ArI8y4A3Nf9fofkFAAD/&#10;/wMAUEsBAi0AFAAGAAgAAAAhALaDOJL+AAAA4QEAABMAAAAAAAAAAAAAAAAAAAAAAFtDb250ZW50&#10;X1R5cGVzXS54bWxQSwECLQAUAAYACAAAACEAOP0h/9YAAACUAQAACwAAAAAAAAAAAAAAAAAvAQAA&#10;X3JlbHMvLnJlbHNQSwECLQAUAAYACAAAACEA5G6MsC0CAABYBAAADgAAAAAAAAAAAAAAAAAuAgAA&#10;ZHJzL2Uyb0RvYy54bWxQSwECLQAUAAYACAAAACEAU7yZqOAAAAAKAQAADwAAAAAAAAAAAAAAAACH&#10;BAAAZHJzL2Rvd25yZXYueG1sUEsFBgAAAAAEAAQA8wAAAJQFAAAAAA==&#10;">
                <v:textbox>
                  <w:txbxContent>
                    <w:p w:rsidR="00EF4A66" w:rsidRPr="00A150C2" w:rsidRDefault="003933BD" w:rsidP="00A150C2">
                      <w:pPr>
                        <w:ind w:left="567" w:hanging="567"/>
                        <w:jc w:val="both"/>
                        <w:rPr>
                          <w:sz w:val="28"/>
                        </w:rPr>
                      </w:pPr>
                      <w:r>
                        <w:rPr>
                          <w:b/>
                          <w:sz w:val="24"/>
                        </w:rPr>
                        <w:t>7</w:t>
                      </w:r>
                      <w:r w:rsidR="00EF4A66">
                        <w:rPr>
                          <w:b/>
                          <w:sz w:val="24"/>
                        </w:rPr>
                        <w:t>.</w:t>
                      </w:r>
                      <w:r w:rsidR="00EF4A66">
                        <w:rPr>
                          <w:b/>
                          <w:sz w:val="24"/>
                        </w:rPr>
                        <w:tab/>
                      </w:r>
                      <w:r w:rsidR="00EF4A66">
                        <w:rPr>
                          <w:b/>
                          <w:sz w:val="24"/>
                          <w:u w:val="single"/>
                        </w:rPr>
                        <w:t>RECOMMENDATIONS</w:t>
                      </w:r>
                      <w:r w:rsidR="00EF4A66">
                        <w:rPr>
                          <w:rFonts w:cs="Arial"/>
                          <w:b/>
                          <w:bCs/>
                          <w:sz w:val="24"/>
                          <w:szCs w:val="24"/>
                        </w:rPr>
                        <w:tab/>
                      </w:r>
                      <w:r w:rsidR="00EF4A66">
                        <w:rPr>
                          <w:rFonts w:cs="Arial"/>
                          <w:b/>
                          <w:bCs/>
                          <w:sz w:val="24"/>
                          <w:szCs w:val="24"/>
                        </w:rPr>
                        <w:br/>
                      </w:r>
                    </w:p>
                    <w:p w:rsidR="00E0385A" w:rsidRDefault="003933BD" w:rsidP="00BD7348">
                      <w:pPr>
                        <w:tabs>
                          <w:tab w:val="left" w:pos="567"/>
                        </w:tabs>
                        <w:ind w:left="1134" w:hanging="1134"/>
                        <w:jc w:val="both"/>
                        <w:rPr>
                          <w:rFonts w:cs="Arial"/>
                          <w:sz w:val="24"/>
                          <w:szCs w:val="24"/>
                        </w:rPr>
                      </w:pPr>
                      <w:r>
                        <w:rPr>
                          <w:rFonts w:cs="Arial"/>
                          <w:sz w:val="24"/>
                          <w:szCs w:val="24"/>
                        </w:rPr>
                        <w:t>7</w:t>
                      </w:r>
                      <w:r w:rsidR="00E0385A">
                        <w:rPr>
                          <w:rFonts w:cs="Arial"/>
                          <w:sz w:val="24"/>
                          <w:szCs w:val="24"/>
                        </w:rPr>
                        <w:t>.1</w:t>
                      </w:r>
                      <w:r w:rsidR="00E0385A">
                        <w:rPr>
                          <w:rFonts w:cs="Arial"/>
                          <w:sz w:val="24"/>
                          <w:szCs w:val="24"/>
                        </w:rPr>
                        <w:tab/>
                        <w:t>That Council approves the Prudential Indic</w:t>
                      </w:r>
                      <w:r w:rsidR="00A614EB">
                        <w:rPr>
                          <w:rFonts w:cs="Arial"/>
                          <w:sz w:val="24"/>
                          <w:szCs w:val="24"/>
                        </w:rPr>
                        <w:t>ators (as detailed in Appendix A</w:t>
                      </w:r>
                      <w:r w:rsidR="00E0385A">
                        <w:rPr>
                          <w:rFonts w:cs="Arial"/>
                          <w:sz w:val="24"/>
                          <w:szCs w:val="24"/>
                        </w:rPr>
                        <w:t>)</w:t>
                      </w:r>
                    </w:p>
                    <w:p w:rsidR="00E0385A" w:rsidRDefault="00E0385A" w:rsidP="00A07679">
                      <w:pPr>
                        <w:tabs>
                          <w:tab w:val="left" w:pos="1134"/>
                        </w:tabs>
                        <w:ind w:left="1134" w:hanging="414"/>
                        <w:jc w:val="both"/>
                        <w:rPr>
                          <w:rFonts w:cs="Arial"/>
                          <w:sz w:val="24"/>
                          <w:szCs w:val="24"/>
                        </w:rPr>
                      </w:pPr>
                    </w:p>
                    <w:p w:rsidR="00EF4A66" w:rsidRDefault="003933BD" w:rsidP="00BD7348">
                      <w:pPr>
                        <w:ind w:left="567" w:hanging="567"/>
                        <w:jc w:val="both"/>
                        <w:rPr>
                          <w:rFonts w:cs="Arial"/>
                          <w:sz w:val="24"/>
                          <w:szCs w:val="24"/>
                        </w:rPr>
                      </w:pPr>
                      <w:bookmarkStart w:id="1" w:name="_GoBack"/>
                      <w:bookmarkEnd w:id="1"/>
                      <w:r>
                        <w:rPr>
                          <w:rFonts w:cs="Arial"/>
                          <w:sz w:val="24"/>
                          <w:szCs w:val="24"/>
                        </w:rPr>
                        <w:t>7</w:t>
                      </w:r>
                      <w:r w:rsidR="00E0385A">
                        <w:rPr>
                          <w:rFonts w:cs="Arial"/>
                          <w:sz w:val="24"/>
                          <w:szCs w:val="24"/>
                        </w:rPr>
                        <w:t>.2</w:t>
                      </w:r>
                      <w:r w:rsidR="00E0385A">
                        <w:rPr>
                          <w:rFonts w:cs="Arial"/>
                          <w:sz w:val="24"/>
                          <w:szCs w:val="24"/>
                        </w:rPr>
                        <w:tab/>
                        <w:t xml:space="preserve">That Council notes the Treasury Management Policy and Strategy (as detailed in Appendix </w:t>
                      </w:r>
                      <w:r w:rsidR="00A614EB">
                        <w:rPr>
                          <w:rFonts w:cs="Arial"/>
                          <w:sz w:val="24"/>
                          <w:szCs w:val="24"/>
                        </w:rPr>
                        <w:t>B</w:t>
                      </w:r>
                      <w:r w:rsidR="00E0385A">
                        <w:rPr>
                          <w:rFonts w:cs="Arial"/>
                          <w:sz w:val="24"/>
                          <w:szCs w:val="24"/>
                        </w:rPr>
                        <w:t>)</w:t>
                      </w:r>
                      <w:r w:rsidR="00AE2DD8">
                        <w:rPr>
                          <w:rFonts w:cs="Arial"/>
                          <w:sz w:val="24"/>
                          <w:szCs w:val="24"/>
                        </w:rPr>
                        <w:tab/>
                      </w:r>
                      <w:r w:rsidR="00AE2DD8">
                        <w:rPr>
                          <w:rFonts w:cs="Arial"/>
                          <w:sz w:val="24"/>
                          <w:szCs w:val="24"/>
                        </w:rPr>
                        <w:br/>
                      </w:r>
                    </w:p>
                  </w:txbxContent>
                </v:textbox>
              </v:shape>
            </w:pict>
          </mc:Fallback>
        </mc:AlternateContent>
      </w:r>
      <w:r w:rsidR="00EE74EE">
        <w:rPr>
          <w:sz w:val="24"/>
        </w:rPr>
        <w:br/>
      </w:r>
      <w:r w:rsidR="00EE74EE">
        <w:rPr>
          <w:sz w:val="24"/>
        </w:rPr>
        <w:br/>
      </w:r>
    </w:p>
    <w:p w:rsidR="00862A09" w:rsidRDefault="00862A09">
      <w:pPr>
        <w:jc w:val="both"/>
        <w:rPr>
          <w:rFonts w:cs="Arial"/>
          <w:sz w:val="24"/>
          <w:szCs w:val="24"/>
        </w:rPr>
      </w:pPr>
    </w:p>
    <w:p w:rsidR="00862A09" w:rsidRDefault="00862A09">
      <w:pPr>
        <w:jc w:val="both"/>
        <w:rPr>
          <w:rFonts w:cs="Arial"/>
          <w:sz w:val="24"/>
          <w:szCs w:val="24"/>
        </w:rPr>
      </w:pPr>
    </w:p>
    <w:p w:rsidR="00862A09" w:rsidRDefault="00862A09">
      <w:pPr>
        <w:jc w:val="both"/>
        <w:rPr>
          <w:rFonts w:cs="Arial"/>
          <w:sz w:val="24"/>
          <w:szCs w:val="24"/>
        </w:rPr>
      </w:pPr>
    </w:p>
    <w:p w:rsidR="00862A09" w:rsidRDefault="00862A09">
      <w:pPr>
        <w:jc w:val="both"/>
        <w:rPr>
          <w:rFonts w:cs="Arial"/>
          <w:sz w:val="24"/>
          <w:szCs w:val="24"/>
        </w:rPr>
      </w:pPr>
    </w:p>
    <w:p w:rsidR="00862A09" w:rsidRDefault="00862A09">
      <w:pPr>
        <w:jc w:val="both"/>
        <w:rPr>
          <w:rFonts w:cs="Arial"/>
          <w:sz w:val="24"/>
          <w:szCs w:val="24"/>
        </w:rPr>
      </w:pPr>
    </w:p>
    <w:p w:rsidR="00862A09" w:rsidRDefault="00862A09">
      <w:pPr>
        <w:jc w:val="both"/>
        <w:rPr>
          <w:rFonts w:cs="Arial"/>
          <w:sz w:val="24"/>
          <w:szCs w:val="24"/>
        </w:rPr>
      </w:pPr>
    </w:p>
    <w:p w:rsidR="003128FC" w:rsidRDefault="003128FC" w:rsidP="003D3895">
      <w:pPr>
        <w:tabs>
          <w:tab w:val="left" w:pos="5670"/>
        </w:tabs>
        <w:jc w:val="both"/>
        <w:outlineLvl w:val="0"/>
        <w:rPr>
          <w:sz w:val="24"/>
          <w:u w:val="single"/>
        </w:rPr>
      </w:pPr>
    </w:p>
    <w:p w:rsidR="00862A09" w:rsidRDefault="000F5552" w:rsidP="00D802BA">
      <w:pPr>
        <w:tabs>
          <w:tab w:val="left" w:pos="5245"/>
        </w:tabs>
        <w:jc w:val="both"/>
        <w:outlineLvl w:val="0"/>
        <w:rPr>
          <w:sz w:val="24"/>
        </w:rPr>
      </w:pPr>
      <w:r>
        <w:rPr>
          <w:sz w:val="24"/>
          <w:u w:val="single"/>
        </w:rPr>
        <w:t>B</w:t>
      </w:r>
      <w:r w:rsidR="00862A09">
        <w:rPr>
          <w:sz w:val="24"/>
          <w:u w:val="single"/>
        </w:rPr>
        <w:t>ackground Papers</w:t>
      </w:r>
      <w:r w:rsidR="00862A09">
        <w:rPr>
          <w:sz w:val="24"/>
        </w:rPr>
        <w:t>:</w:t>
      </w:r>
      <w:r w:rsidR="00862A09">
        <w:rPr>
          <w:sz w:val="24"/>
        </w:rPr>
        <w:tab/>
      </w:r>
      <w:r w:rsidR="00E62F0B">
        <w:rPr>
          <w:sz w:val="24"/>
        </w:rPr>
        <w:tab/>
      </w:r>
      <w:r w:rsidR="00862A09">
        <w:rPr>
          <w:sz w:val="24"/>
          <w:u w:val="single"/>
        </w:rPr>
        <w:t>Previous Reports/Minutes</w:t>
      </w:r>
      <w:r w:rsidR="00862A09">
        <w:rPr>
          <w:sz w:val="24"/>
        </w:rPr>
        <w:t>:</w:t>
      </w:r>
    </w:p>
    <w:p w:rsidR="00BC5C9C" w:rsidRPr="00D802BA" w:rsidRDefault="00D802BA" w:rsidP="00D802BA">
      <w:pPr>
        <w:tabs>
          <w:tab w:val="left" w:pos="5245"/>
        </w:tabs>
        <w:jc w:val="both"/>
        <w:rPr>
          <w:sz w:val="24"/>
          <w:szCs w:val="24"/>
        </w:rPr>
      </w:pPr>
      <w:r>
        <w:rPr>
          <w:sz w:val="24"/>
        </w:rPr>
        <w:tab/>
      </w:r>
    </w:p>
    <w:p w:rsidR="00E62F0B" w:rsidRDefault="00E62F0B" w:rsidP="00E62F0B">
      <w:pPr>
        <w:tabs>
          <w:tab w:val="left" w:pos="5670"/>
        </w:tabs>
        <w:jc w:val="both"/>
        <w:rPr>
          <w:sz w:val="24"/>
        </w:rPr>
      </w:pPr>
      <w:r>
        <w:rPr>
          <w:sz w:val="24"/>
        </w:rPr>
        <w:t>Title of Document: Treasury Management Strategy</w:t>
      </w:r>
      <w:r>
        <w:rPr>
          <w:sz w:val="24"/>
        </w:rPr>
        <w:tab/>
      </w:r>
      <w:r>
        <w:rPr>
          <w:sz w:val="24"/>
        </w:rPr>
        <w:tab/>
        <w:t>Ref: Exec Report 1</w:t>
      </w:r>
      <w:r w:rsidR="0018763C">
        <w:rPr>
          <w:sz w:val="24"/>
        </w:rPr>
        <w:t>8</w:t>
      </w:r>
      <w:r>
        <w:rPr>
          <w:sz w:val="24"/>
        </w:rPr>
        <w:t>/2/</w:t>
      </w:r>
      <w:r w:rsidR="0018763C">
        <w:rPr>
          <w:sz w:val="24"/>
        </w:rPr>
        <w:t>2015</w:t>
      </w:r>
    </w:p>
    <w:p w:rsidR="00E62F0B" w:rsidRDefault="00E62F0B" w:rsidP="00E62F0B">
      <w:pPr>
        <w:tabs>
          <w:tab w:val="left" w:pos="5670"/>
        </w:tabs>
        <w:jc w:val="both"/>
      </w:pPr>
      <w:r>
        <w:rPr>
          <w:sz w:val="24"/>
        </w:rPr>
        <w:t xml:space="preserve">Contact Officers: M Dickenson   </w:t>
      </w:r>
    </w:p>
    <w:p w:rsidR="00803B12" w:rsidRPr="00D802BA" w:rsidRDefault="00E62F0B" w:rsidP="00C24A17">
      <w:pPr>
        <w:tabs>
          <w:tab w:val="left" w:pos="5670"/>
        </w:tabs>
        <w:jc w:val="both"/>
        <w:rPr>
          <w:sz w:val="24"/>
          <w:szCs w:val="24"/>
        </w:rPr>
      </w:pPr>
      <w:r>
        <w:rPr>
          <w:sz w:val="24"/>
          <w:szCs w:val="24"/>
        </w:rPr>
        <w:tab/>
      </w:r>
    </w:p>
    <w:sectPr w:rsidR="00803B12" w:rsidRPr="00D802BA" w:rsidSect="00FA49CA">
      <w:headerReference w:type="default" r:id="rId8"/>
      <w:footerReference w:type="default" r:id="rId9"/>
      <w:headerReference w:type="first" r:id="rId10"/>
      <w:footerReference w:type="first" r:id="rId11"/>
      <w:pgSz w:w="11906" w:h="16838" w:code="9"/>
      <w:pgMar w:top="421" w:right="1134" w:bottom="1134" w:left="116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60" w:rsidRDefault="000F2560">
      <w:r>
        <w:separator/>
      </w:r>
    </w:p>
  </w:endnote>
  <w:endnote w:type="continuationSeparator" w:id="0">
    <w:p w:rsidR="000F2560" w:rsidRDefault="000F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66" w:rsidRDefault="00EF4A6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A66" w:rsidRDefault="00EF4A66">
    <w:pPr>
      <w:pStyle w:val="Footer"/>
      <w:jc w:val="center"/>
    </w:pPr>
    <w:r>
      <w:rPr>
        <w:rStyle w:val="PageNumber"/>
      </w:rPr>
      <w:fldChar w:fldCharType="begin"/>
    </w:r>
    <w:r>
      <w:rPr>
        <w:rStyle w:val="PageNumber"/>
      </w:rPr>
      <w:instrText xml:space="preserve"> PAGE </w:instrText>
    </w:r>
    <w:r>
      <w:rPr>
        <w:rStyle w:val="PageNumber"/>
      </w:rPr>
      <w:fldChar w:fldCharType="separate"/>
    </w:r>
    <w:r w:rsidR="000716B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60" w:rsidRDefault="000F2560">
      <w:r>
        <w:separator/>
      </w:r>
    </w:p>
  </w:footnote>
  <w:footnote w:type="continuationSeparator" w:id="0">
    <w:p w:rsidR="000F2560" w:rsidRDefault="000F2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668"/>
      <w:gridCol w:w="5244"/>
      <w:gridCol w:w="1276"/>
      <w:gridCol w:w="1559"/>
    </w:tblGrid>
    <w:tr w:rsidR="00EF4A66">
      <w:trPr>
        <w:cantSplit/>
      </w:trPr>
      <w:tc>
        <w:tcPr>
          <w:tcW w:w="9747" w:type="dxa"/>
          <w:gridSpan w:val="4"/>
        </w:tcPr>
        <w:p w:rsidR="00EF4A66" w:rsidRDefault="00EF4A66">
          <w:pPr>
            <w:pStyle w:val="Header"/>
            <w:jc w:val="center"/>
            <w:rPr>
              <w:b/>
              <w:sz w:val="24"/>
            </w:rPr>
          </w:pPr>
          <w:r>
            <w:rPr>
              <w:b/>
              <w:sz w:val="24"/>
            </w:rPr>
            <w:t xml:space="preserve">B O R O U G H   O F  K E T </w:t>
          </w:r>
          <w:proofErr w:type="spellStart"/>
          <w:r>
            <w:rPr>
              <w:b/>
              <w:sz w:val="24"/>
            </w:rPr>
            <w:t>T</w:t>
          </w:r>
          <w:proofErr w:type="spellEnd"/>
          <w:r>
            <w:rPr>
              <w:b/>
              <w:sz w:val="24"/>
            </w:rPr>
            <w:t xml:space="preserve"> E R I N G</w:t>
          </w:r>
        </w:p>
        <w:p w:rsidR="00EF4A66" w:rsidRDefault="00EF4A66">
          <w:pPr>
            <w:pStyle w:val="Header"/>
            <w:jc w:val="center"/>
            <w:rPr>
              <w:b/>
              <w:sz w:val="24"/>
            </w:rPr>
          </w:pPr>
        </w:p>
      </w:tc>
    </w:tr>
    <w:tr w:rsidR="00EF4A66" w:rsidTr="00803B12">
      <w:trPr>
        <w:trHeight w:val="714"/>
      </w:trPr>
      <w:tc>
        <w:tcPr>
          <w:tcW w:w="1668" w:type="dxa"/>
          <w:tcBorders>
            <w:top w:val="single" w:sz="4" w:space="0" w:color="auto"/>
            <w:left w:val="single" w:sz="4" w:space="0" w:color="auto"/>
            <w:bottom w:val="single" w:sz="4" w:space="0" w:color="auto"/>
            <w:right w:val="single" w:sz="4" w:space="0" w:color="auto"/>
          </w:tcBorders>
        </w:tcPr>
        <w:p w:rsidR="00EF4A66" w:rsidRDefault="00EF4A66">
          <w:pPr>
            <w:pStyle w:val="Header"/>
            <w:spacing w:before="120"/>
            <w:rPr>
              <w:b/>
              <w:sz w:val="24"/>
            </w:rPr>
          </w:pPr>
          <w:r>
            <w:rPr>
              <w:b/>
              <w:sz w:val="24"/>
            </w:rPr>
            <w:t>Committee</w:t>
          </w:r>
        </w:p>
      </w:tc>
      <w:tc>
        <w:tcPr>
          <w:tcW w:w="5244" w:type="dxa"/>
          <w:tcBorders>
            <w:top w:val="single" w:sz="4" w:space="0" w:color="auto"/>
            <w:left w:val="single" w:sz="4" w:space="0" w:color="auto"/>
            <w:bottom w:val="single" w:sz="4" w:space="0" w:color="auto"/>
            <w:right w:val="single" w:sz="4" w:space="0" w:color="auto"/>
          </w:tcBorders>
        </w:tcPr>
        <w:p w:rsidR="00EF4A66" w:rsidRDefault="004A48B5">
          <w:pPr>
            <w:pStyle w:val="Header"/>
            <w:spacing w:before="120"/>
            <w:rPr>
              <w:rFonts w:ascii="Arial Black" w:hAnsi="Arial Black"/>
              <w:b/>
              <w:sz w:val="24"/>
            </w:rPr>
          </w:pPr>
          <w:r>
            <w:rPr>
              <w:rFonts w:ascii="Arial Black" w:hAnsi="Arial Black"/>
              <w:b/>
              <w:sz w:val="24"/>
            </w:rPr>
            <w:t>COUNCIL</w:t>
          </w:r>
        </w:p>
        <w:p w:rsidR="00EF4A66" w:rsidRDefault="00EF4A66">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EF4A66" w:rsidRDefault="00F81FAB">
          <w:pPr>
            <w:pStyle w:val="Header"/>
            <w:jc w:val="center"/>
            <w:rPr>
              <w:sz w:val="24"/>
            </w:rPr>
          </w:pPr>
          <w:r>
            <w:rPr>
              <w:sz w:val="24"/>
            </w:rPr>
            <w:t xml:space="preserve">Item </w:t>
          </w:r>
        </w:p>
        <w:p w:rsidR="00EF4A66" w:rsidRDefault="00BD7348">
          <w:pPr>
            <w:pStyle w:val="Header"/>
            <w:jc w:val="center"/>
            <w:rPr>
              <w:sz w:val="24"/>
            </w:rPr>
          </w:pPr>
          <w:r>
            <w:rPr>
              <w:sz w:val="24"/>
            </w:rPr>
            <w:t>9</w:t>
          </w:r>
        </w:p>
        <w:p w:rsidR="00EF4A66" w:rsidRDefault="00EF4A66">
          <w:pPr>
            <w:pStyle w:val="Header"/>
            <w:jc w:val="center"/>
            <w:rPr>
              <w:sz w:val="24"/>
            </w:rPr>
          </w:pPr>
        </w:p>
      </w:tc>
      <w:tc>
        <w:tcPr>
          <w:tcW w:w="1559" w:type="dxa"/>
          <w:tcBorders>
            <w:top w:val="single" w:sz="4" w:space="0" w:color="auto"/>
            <w:left w:val="single" w:sz="4" w:space="0" w:color="auto"/>
            <w:bottom w:val="single" w:sz="4" w:space="0" w:color="auto"/>
            <w:right w:val="single" w:sz="4" w:space="0" w:color="auto"/>
          </w:tcBorders>
        </w:tcPr>
        <w:p w:rsidR="00EF4A66" w:rsidRPr="00AF33E6" w:rsidRDefault="00EF4A66">
          <w:pPr>
            <w:pStyle w:val="Header"/>
            <w:jc w:val="center"/>
            <w:rPr>
              <w:snapToGrid w:val="0"/>
              <w:sz w:val="24"/>
            </w:rPr>
          </w:pPr>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0716B7">
            <w:rPr>
              <w:noProof/>
              <w:snapToGrid w:val="0"/>
              <w:sz w:val="24"/>
            </w:rPr>
            <w:t>2</w:t>
          </w:r>
          <w:r>
            <w:rPr>
              <w:snapToGrid w:val="0"/>
              <w:sz w:val="24"/>
            </w:rPr>
            <w:fldChar w:fldCharType="end"/>
          </w:r>
          <w:r>
            <w:rPr>
              <w:snapToGrid w:val="0"/>
              <w:sz w:val="24"/>
            </w:rPr>
            <w:t xml:space="preserve"> </w:t>
          </w:r>
        </w:p>
      </w:tc>
    </w:tr>
  </w:tbl>
  <w:p w:rsidR="00EF4A66" w:rsidRDefault="00EF4A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668"/>
      <w:gridCol w:w="5244"/>
      <w:gridCol w:w="1276"/>
      <w:gridCol w:w="1418"/>
    </w:tblGrid>
    <w:tr w:rsidR="00EF4A66" w:rsidRPr="000D05A4">
      <w:trPr>
        <w:cantSplit/>
      </w:trPr>
      <w:tc>
        <w:tcPr>
          <w:tcW w:w="9606" w:type="dxa"/>
          <w:gridSpan w:val="4"/>
        </w:tcPr>
        <w:p w:rsidR="00EF4A66" w:rsidRPr="000D05A4" w:rsidRDefault="00EF4A66">
          <w:pPr>
            <w:pStyle w:val="Header"/>
            <w:jc w:val="center"/>
            <w:rPr>
              <w:b/>
              <w:sz w:val="24"/>
            </w:rPr>
          </w:pPr>
          <w:r w:rsidRPr="000D05A4">
            <w:rPr>
              <w:b/>
              <w:sz w:val="24"/>
            </w:rPr>
            <w:t>B O R O U G H   O F  K E T T E R I N G</w:t>
          </w:r>
        </w:p>
        <w:p w:rsidR="00EF4A66" w:rsidRPr="000D05A4" w:rsidRDefault="00EF4A66">
          <w:pPr>
            <w:pStyle w:val="Header"/>
            <w:jc w:val="center"/>
            <w:rPr>
              <w:b/>
              <w:sz w:val="24"/>
            </w:rPr>
          </w:pPr>
        </w:p>
      </w:tc>
    </w:tr>
    <w:tr w:rsidR="00EF4A66">
      <w:tc>
        <w:tcPr>
          <w:tcW w:w="1668" w:type="dxa"/>
          <w:tcBorders>
            <w:top w:val="single" w:sz="4" w:space="0" w:color="auto"/>
            <w:left w:val="single" w:sz="4" w:space="0" w:color="auto"/>
            <w:bottom w:val="single" w:sz="4" w:space="0" w:color="auto"/>
            <w:right w:val="single" w:sz="4" w:space="0" w:color="auto"/>
          </w:tcBorders>
        </w:tcPr>
        <w:p w:rsidR="00EF4A66" w:rsidRPr="00796C80" w:rsidRDefault="00EF4A66">
          <w:pPr>
            <w:pStyle w:val="Header"/>
            <w:spacing w:before="120"/>
            <w:rPr>
              <w:rFonts w:cs="Arial"/>
              <w:b/>
              <w:bCs/>
              <w:sz w:val="24"/>
            </w:rPr>
          </w:pPr>
          <w:r w:rsidRPr="00796C80">
            <w:rPr>
              <w:rFonts w:cs="Arial"/>
              <w:b/>
              <w:bCs/>
              <w:sz w:val="24"/>
            </w:rPr>
            <w:t>Committee</w:t>
          </w:r>
        </w:p>
      </w:tc>
      <w:tc>
        <w:tcPr>
          <w:tcW w:w="5244" w:type="dxa"/>
          <w:tcBorders>
            <w:top w:val="single" w:sz="4" w:space="0" w:color="auto"/>
            <w:left w:val="single" w:sz="4" w:space="0" w:color="auto"/>
            <w:bottom w:val="single" w:sz="4" w:space="0" w:color="auto"/>
            <w:right w:val="single" w:sz="4" w:space="0" w:color="auto"/>
          </w:tcBorders>
        </w:tcPr>
        <w:p w:rsidR="00EF4A66" w:rsidRDefault="00E0385A">
          <w:pPr>
            <w:pStyle w:val="Header"/>
            <w:spacing w:before="120"/>
            <w:rPr>
              <w:rFonts w:ascii="Arial Black" w:hAnsi="Arial Black"/>
              <w:b/>
              <w:bCs/>
              <w:sz w:val="24"/>
            </w:rPr>
          </w:pPr>
          <w:r>
            <w:rPr>
              <w:rFonts w:ascii="Arial Black" w:hAnsi="Arial Black"/>
              <w:b/>
              <w:bCs/>
              <w:sz w:val="24"/>
            </w:rPr>
            <w:t>COUNCIL</w:t>
          </w:r>
        </w:p>
        <w:p w:rsidR="00EF4A66" w:rsidRDefault="00EF4A66">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EF4A66" w:rsidRPr="004D61AF" w:rsidRDefault="00EF4A66">
          <w:pPr>
            <w:pStyle w:val="Header"/>
            <w:jc w:val="center"/>
            <w:rPr>
              <w:sz w:val="24"/>
            </w:rPr>
          </w:pPr>
          <w:r w:rsidRPr="004D61AF">
            <w:rPr>
              <w:sz w:val="24"/>
            </w:rPr>
            <w:t xml:space="preserve">Item </w:t>
          </w:r>
        </w:p>
        <w:p w:rsidR="00EF4A66" w:rsidRDefault="00383F38">
          <w:pPr>
            <w:pStyle w:val="Header"/>
            <w:jc w:val="center"/>
            <w:rPr>
              <w:sz w:val="24"/>
            </w:rPr>
          </w:pPr>
          <w:r>
            <w:rPr>
              <w:sz w:val="24"/>
            </w:rPr>
            <w:t>9</w:t>
          </w:r>
        </w:p>
      </w:tc>
      <w:tc>
        <w:tcPr>
          <w:tcW w:w="1418" w:type="dxa"/>
          <w:tcBorders>
            <w:top w:val="single" w:sz="4" w:space="0" w:color="auto"/>
            <w:left w:val="single" w:sz="4" w:space="0" w:color="auto"/>
            <w:bottom w:val="single" w:sz="4" w:space="0" w:color="auto"/>
            <w:right w:val="single" w:sz="4" w:space="0" w:color="auto"/>
          </w:tcBorders>
        </w:tcPr>
        <w:p w:rsidR="00EF4A66" w:rsidRPr="00AF33E6" w:rsidRDefault="00EF4A66">
          <w:pPr>
            <w:pStyle w:val="Header"/>
            <w:jc w:val="center"/>
            <w:rPr>
              <w:snapToGrid w:val="0"/>
              <w:sz w:val="24"/>
            </w:rPr>
          </w:pPr>
          <w:r>
            <w:rPr>
              <w:snapToGrid w:val="0"/>
              <w:sz w:val="24"/>
            </w:rPr>
            <w:t xml:space="preserve">Page </w:t>
          </w:r>
          <w:r>
            <w:rPr>
              <w:snapToGrid w:val="0"/>
              <w:sz w:val="24"/>
            </w:rPr>
            <w:fldChar w:fldCharType="begin"/>
          </w:r>
          <w:r>
            <w:rPr>
              <w:snapToGrid w:val="0"/>
              <w:sz w:val="24"/>
            </w:rPr>
            <w:instrText xml:space="preserve"> PAGE </w:instrText>
          </w:r>
          <w:r>
            <w:rPr>
              <w:snapToGrid w:val="0"/>
              <w:sz w:val="24"/>
            </w:rPr>
            <w:fldChar w:fldCharType="separate"/>
          </w:r>
          <w:r w:rsidR="000716B7">
            <w:rPr>
              <w:noProof/>
              <w:snapToGrid w:val="0"/>
              <w:sz w:val="24"/>
            </w:rPr>
            <w:t>1</w:t>
          </w:r>
          <w:r>
            <w:rPr>
              <w:snapToGrid w:val="0"/>
              <w:sz w:val="24"/>
            </w:rPr>
            <w:fldChar w:fldCharType="end"/>
          </w:r>
          <w:r>
            <w:rPr>
              <w:snapToGrid w:val="0"/>
              <w:sz w:val="24"/>
            </w:rPr>
            <w:t xml:space="preserve"> </w:t>
          </w:r>
        </w:p>
      </w:tc>
    </w:tr>
    <w:tr w:rsidR="00EF4A66">
      <w:trPr>
        <w:cantSplit/>
      </w:trPr>
      <w:tc>
        <w:tcPr>
          <w:tcW w:w="1668" w:type="dxa"/>
          <w:tcBorders>
            <w:top w:val="single" w:sz="4" w:space="0" w:color="auto"/>
            <w:left w:val="single" w:sz="4" w:space="0" w:color="auto"/>
            <w:bottom w:val="single" w:sz="4" w:space="0" w:color="auto"/>
            <w:right w:val="single" w:sz="4" w:space="0" w:color="auto"/>
          </w:tcBorders>
        </w:tcPr>
        <w:p w:rsidR="00EF4A66" w:rsidRDefault="00EF4A66">
          <w:pPr>
            <w:pStyle w:val="Header"/>
            <w:rPr>
              <w:b/>
              <w:sz w:val="24"/>
            </w:rPr>
          </w:pPr>
          <w:r>
            <w:rPr>
              <w:b/>
              <w:sz w:val="24"/>
            </w:rPr>
            <w:t xml:space="preserve">Report </w:t>
          </w:r>
        </w:p>
        <w:p w:rsidR="00EF4A66" w:rsidRDefault="00EF4A66">
          <w:pPr>
            <w:pStyle w:val="Header"/>
            <w:rPr>
              <w:b/>
              <w:sz w:val="24"/>
            </w:rPr>
          </w:pPr>
          <w:r>
            <w:rPr>
              <w:b/>
              <w:sz w:val="24"/>
            </w:rPr>
            <w:t>Originator</w:t>
          </w:r>
        </w:p>
        <w:p w:rsidR="00EF4A66" w:rsidRDefault="00EF4A66">
          <w:pPr>
            <w:pStyle w:val="Header"/>
            <w:rPr>
              <w:b/>
              <w:sz w:val="24"/>
            </w:rPr>
          </w:pPr>
        </w:p>
      </w:tc>
      <w:tc>
        <w:tcPr>
          <w:tcW w:w="5244" w:type="dxa"/>
          <w:tcBorders>
            <w:top w:val="single" w:sz="4" w:space="0" w:color="auto"/>
            <w:left w:val="single" w:sz="4" w:space="0" w:color="auto"/>
            <w:bottom w:val="single" w:sz="4" w:space="0" w:color="auto"/>
          </w:tcBorders>
        </w:tcPr>
        <w:p w:rsidR="00EF4A66" w:rsidRDefault="00E0385A">
          <w:pPr>
            <w:pStyle w:val="Header"/>
            <w:rPr>
              <w:sz w:val="24"/>
            </w:rPr>
          </w:pPr>
          <w:r>
            <w:rPr>
              <w:sz w:val="24"/>
            </w:rPr>
            <w:t>Mark Dickenson</w:t>
          </w:r>
        </w:p>
        <w:p w:rsidR="00E0385A" w:rsidRDefault="00E0385A">
          <w:pPr>
            <w:pStyle w:val="Header"/>
            <w:rPr>
              <w:sz w:val="24"/>
            </w:rPr>
          </w:pPr>
          <w:r>
            <w:rPr>
              <w:sz w:val="24"/>
            </w:rPr>
            <w:t>Acting Head of Finance</w:t>
          </w:r>
        </w:p>
      </w:tc>
      <w:tc>
        <w:tcPr>
          <w:tcW w:w="2694" w:type="dxa"/>
          <w:gridSpan w:val="2"/>
          <w:tcBorders>
            <w:top w:val="single" w:sz="4" w:space="0" w:color="auto"/>
            <w:left w:val="single" w:sz="4" w:space="0" w:color="auto"/>
            <w:bottom w:val="single" w:sz="4" w:space="0" w:color="auto"/>
            <w:right w:val="single" w:sz="4" w:space="0" w:color="auto"/>
          </w:tcBorders>
        </w:tcPr>
        <w:p w:rsidR="00EF4A66" w:rsidRDefault="00EF4A66">
          <w:pPr>
            <w:pStyle w:val="Header"/>
            <w:jc w:val="center"/>
            <w:rPr>
              <w:sz w:val="24"/>
            </w:rPr>
          </w:pPr>
          <w:r>
            <w:rPr>
              <w:sz w:val="24"/>
            </w:rPr>
            <w:t>Fwd Plan Ref</w:t>
          </w:r>
        </w:p>
        <w:p w:rsidR="00EF4A66" w:rsidRPr="00796C80" w:rsidRDefault="000716B7">
          <w:pPr>
            <w:pStyle w:val="Header"/>
            <w:jc w:val="center"/>
            <w:rPr>
              <w:sz w:val="24"/>
            </w:rPr>
          </w:pPr>
          <w:r>
            <w:rPr>
              <w:sz w:val="24"/>
            </w:rPr>
            <w:t>C14/016</w:t>
          </w:r>
        </w:p>
      </w:tc>
    </w:tr>
    <w:tr w:rsidR="00EF4A66">
      <w:trPr>
        <w:cantSplit/>
      </w:trPr>
      <w:tc>
        <w:tcPr>
          <w:tcW w:w="1668" w:type="dxa"/>
          <w:tcBorders>
            <w:top w:val="single" w:sz="4" w:space="0" w:color="auto"/>
            <w:left w:val="single" w:sz="4" w:space="0" w:color="auto"/>
            <w:bottom w:val="single" w:sz="4" w:space="0" w:color="auto"/>
            <w:right w:val="single" w:sz="4" w:space="0" w:color="auto"/>
          </w:tcBorders>
        </w:tcPr>
        <w:p w:rsidR="00EF4A66" w:rsidRDefault="00EF4A66">
          <w:pPr>
            <w:pStyle w:val="Header"/>
            <w:rPr>
              <w:b/>
              <w:sz w:val="24"/>
            </w:rPr>
          </w:pPr>
          <w:r>
            <w:rPr>
              <w:b/>
              <w:sz w:val="24"/>
            </w:rPr>
            <w:t>Wards Affected</w:t>
          </w:r>
        </w:p>
      </w:tc>
      <w:tc>
        <w:tcPr>
          <w:tcW w:w="5244" w:type="dxa"/>
          <w:tcBorders>
            <w:top w:val="single" w:sz="4" w:space="0" w:color="auto"/>
            <w:left w:val="single" w:sz="4" w:space="0" w:color="auto"/>
            <w:bottom w:val="single" w:sz="4" w:space="0" w:color="auto"/>
            <w:right w:val="single" w:sz="4" w:space="0" w:color="auto"/>
          </w:tcBorders>
        </w:tcPr>
        <w:p w:rsidR="00EF4A66" w:rsidRDefault="00EF4A66">
          <w:pPr>
            <w:pStyle w:val="Header"/>
            <w:rPr>
              <w:sz w:val="24"/>
            </w:rPr>
          </w:pPr>
          <w:r>
            <w:rPr>
              <w:sz w:val="24"/>
            </w:rPr>
            <w:t>All</w:t>
          </w:r>
        </w:p>
      </w:tc>
      <w:tc>
        <w:tcPr>
          <w:tcW w:w="2694" w:type="dxa"/>
          <w:gridSpan w:val="2"/>
          <w:tcBorders>
            <w:top w:val="single" w:sz="4" w:space="0" w:color="auto"/>
            <w:left w:val="single" w:sz="4" w:space="0" w:color="auto"/>
            <w:bottom w:val="single" w:sz="4" w:space="0" w:color="auto"/>
            <w:right w:val="single" w:sz="4" w:space="0" w:color="auto"/>
          </w:tcBorders>
        </w:tcPr>
        <w:p w:rsidR="00EF4A66" w:rsidRDefault="00E0385A">
          <w:pPr>
            <w:pStyle w:val="Header"/>
            <w:rPr>
              <w:bCs/>
              <w:sz w:val="24"/>
            </w:rPr>
          </w:pPr>
          <w:r w:rsidRPr="00383F38">
            <w:rPr>
              <w:bCs/>
              <w:sz w:val="24"/>
            </w:rPr>
            <w:t>2</w:t>
          </w:r>
          <w:r w:rsidR="0018763C">
            <w:rPr>
              <w:bCs/>
              <w:sz w:val="24"/>
            </w:rPr>
            <w:t>5</w:t>
          </w:r>
          <w:r w:rsidR="00852C10" w:rsidRPr="00383F38">
            <w:rPr>
              <w:bCs/>
              <w:sz w:val="24"/>
              <w:vertAlign w:val="superscript"/>
            </w:rPr>
            <w:t>th</w:t>
          </w:r>
          <w:r w:rsidR="00852C10" w:rsidRPr="00383F38">
            <w:rPr>
              <w:bCs/>
              <w:sz w:val="24"/>
            </w:rPr>
            <w:t xml:space="preserve"> </w:t>
          </w:r>
          <w:r w:rsidR="007239FB" w:rsidRPr="00383F38">
            <w:rPr>
              <w:bCs/>
              <w:sz w:val="24"/>
            </w:rPr>
            <w:t>February 201</w:t>
          </w:r>
          <w:r w:rsidR="0018763C">
            <w:rPr>
              <w:bCs/>
              <w:sz w:val="24"/>
            </w:rPr>
            <w:t>5</w:t>
          </w:r>
        </w:p>
        <w:p w:rsidR="00EF4A66" w:rsidRDefault="00EF4A66">
          <w:pPr>
            <w:pStyle w:val="Header"/>
            <w:rPr>
              <w:sz w:val="24"/>
            </w:rPr>
          </w:pPr>
        </w:p>
      </w:tc>
    </w:tr>
    <w:tr w:rsidR="00EF4A66">
      <w:trPr>
        <w:cantSplit/>
      </w:trPr>
      <w:tc>
        <w:tcPr>
          <w:tcW w:w="1668" w:type="dxa"/>
          <w:tcBorders>
            <w:top w:val="single" w:sz="4" w:space="0" w:color="auto"/>
            <w:left w:val="single" w:sz="4" w:space="0" w:color="auto"/>
            <w:bottom w:val="single" w:sz="4" w:space="0" w:color="auto"/>
            <w:right w:val="single" w:sz="4" w:space="0" w:color="auto"/>
          </w:tcBorders>
        </w:tcPr>
        <w:p w:rsidR="00EF4A66" w:rsidRDefault="00EF4A66">
          <w:pPr>
            <w:pStyle w:val="Header"/>
            <w:rPr>
              <w:b/>
              <w:sz w:val="24"/>
            </w:rPr>
          </w:pPr>
          <w:r>
            <w:rPr>
              <w:b/>
              <w:sz w:val="24"/>
            </w:rPr>
            <w:t>Title</w:t>
          </w:r>
        </w:p>
      </w:tc>
      <w:tc>
        <w:tcPr>
          <w:tcW w:w="7938" w:type="dxa"/>
          <w:gridSpan w:val="3"/>
          <w:tcBorders>
            <w:top w:val="single" w:sz="4" w:space="0" w:color="auto"/>
            <w:left w:val="single" w:sz="4" w:space="0" w:color="auto"/>
            <w:bottom w:val="single" w:sz="4" w:space="0" w:color="auto"/>
            <w:right w:val="single" w:sz="4" w:space="0" w:color="auto"/>
          </w:tcBorders>
        </w:tcPr>
        <w:p w:rsidR="00EF4A66" w:rsidRDefault="00E0385A" w:rsidP="000D05A4">
          <w:pPr>
            <w:pStyle w:val="Header"/>
            <w:rPr>
              <w:rFonts w:ascii="Arial Black" w:hAnsi="Arial Black"/>
              <w:b/>
              <w:bCs/>
              <w:sz w:val="24"/>
            </w:rPr>
          </w:pPr>
          <w:r>
            <w:rPr>
              <w:rFonts w:ascii="Arial Black" w:hAnsi="Arial Black"/>
              <w:b/>
              <w:bCs/>
              <w:sz w:val="24"/>
            </w:rPr>
            <w:t>TREASURY MANAGEMENT</w:t>
          </w:r>
          <w:r w:rsidR="00843328">
            <w:rPr>
              <w:rFonts w:ascii="Arial Black" w:hAnsi="Arial Black"/>
              <w:b/>
              <w:bCs/>
              <w:sz w:val="24"/>
            </w:rPr>
            <w:t xml:space="preserve"> </w:t>
          </w:r>
          <w:r w:rsidR="0018763C">
            <w:rPr>
              <w:rFonts w:ascii="Arial Black" w:hAnsi="Arial Black"/>
              <w:b/>
              <w:bCs/>
              <w:sz w:val="24"/>
            </w:rPr>
            <w:t>2015/16</w:t>
          </w:r>
        </w:p>
        <w:p w:rsidR="00843328" w:rsidRDefault="00843328">
          <w:pPr>
            <w:pStyle w:val="Header"/>
            <w:rPr>
              <w:rFonts w:ascii="Arial Black" w:hAnsi="Arial Black"/>
              <w:b/>
              <w:bCs/>
              <w:sz w:val="24"/>
            </w:rPr>
          </w:pPr>
        </w:p>
      </w:tc>
    </w:tr>
  </w:tbl>
  <w:p w:rsidR="00EF4A66" w:rsidRDefault="00EF4A66">
    <w:pPr>
      <w:pStyle w:val="Header"/>
    </w:pPr>
  </w:p>
  <w:p w:rsidR="00EF4A66" w:rsidRDefault="00EF4A66">
    <w:pPr>
      <w:pStyle w:val="Header"/>
      <w:rPr>
        <w:b/>
        <w:sz w:val="22"/>
        <w:szCs w:val="22"/>
      </w:rPr>
    </w:pPr>
  </w:p>
  <w:p w:rsidR="00EF4A66" w:rsidRDefault="00EF4A66">
    <w:pPr>
      <w:pStyle w:val="Header"/>
      <w:rPr>
        <w:b/>
        <w:sz w:val="22"/>
        <w:szCs w:val="22"/>
      </w:rPr>
    </w:pPr>
  </w:p>
  <w:p w:rsidR="00EF4A66" w:rsidRDefault="00EF4A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396"/>
    <w:multiLevelType w:val="multilevel"/>
    <w:tmpl w:val="3DB6F2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73F67DD"/>
    <w:multiLevelType w:val="multilevel"/>
    <w:tmpl w:val="B51EB5D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C6178B0"/>
    <w:multiLevelType w:val="hybridMultilevel"/>
    <w:tmpl w:val="AF2A70BA"/>
    <w:lvl w:ilvl="0" w:tplc="2C9847D2">
      <w:start w:val="1"/>
      <w:numFmt w:val="lowerLetter"/>
      <w:lvlText w:val="%1."/>
      <w:lvlJc w:val="left"/>
      <w:pPr>
        <w:tabs>
          <w:tab w:val="num" w:pos="927"/>
        </w:tabs>
        <w:ind w:left="927" w:hanging="360"/>
      </w:pPr>
      <w:rPr>
        <w:rFonts w:hint="default"/>
        <w:sz w:val="24"/>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
    <w:nsid w:val="60765C4C"/>
    <w:multiLevelType w:val="multilevel"/>
    <w:tmpl w:val="3DB6F2F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7D"/>
    <w:rsid w:val="00000385"/>
    <w:rsid w:val="000039A0"/>
    <w:rsid w:val="0000485C"/>
    <w:rsid w:val="0001494E"/>
    <w:rsid w:val="00016CAE"/>
    <w:rsid w:val="000230FF"/>
    <w:rsid w:val="00024913"/>
    <w:rsid w:val="0003492B"/>
    <w:rsid w:val="0003581E"/>
    <w:rsid w:val="00052FF1"/>
    <w:rsid w:val="00054168"/>
    <w:rsid w:val="00054A07"/>
    <w:rsid w:val="000551B6"/>
    <w:rsid w:val="00057F11"/>
    <w:rsid w:val="0006055C"/>
    <w:rsid w:val="00066999"/>
    <w:rsid w:val="00071488"/>
    <w:rsid w:val="000716B7"/>
    <w:rsid w:val="000739FF"/>
    <w:rsid w:val="00086752"/>
    <w:rsid w:val="00091344"/>
    <w:rsid w:val="0009147A"/>
    <w:rsid w:val="00091582"/>
    <w:rsid w:val="00092B97"/>
    <w:rsid w:val="00097BEA"/>
    <w:rsid w:val="000A0C30"/>
    <w:rsid w:val="000A172A"/>
    <w:rsid w:val="000B51E2"/>
    <w:rsid w:val="000B5EF6"/>
    <w:rsid w:val="000C29EB"/>
    <w:rsid w:val="000C5DCD"/>
    <w:rsid w:val="000D05A4"/>
    <w:rsid w:val="000D3E35"/>
    <w:rsid w:val="000E319E"/>
    <w:rsid w:val="000F2560"/>
    <w:rsid w:val="000F5552"/>
    <w:rsid w:val="000F7A13"/>
    <w:rsid w:val="0010042A"/>
    <w:rsid w:val="001158A5"/>
    <w:rsid w:val="00124311"/>
    <w:rsid w:val="00131C60"/>
    <w:rsid w:val="00134F6A"/>
    <w:rsid w:val="001408B7"/>
    <w:rsid w:val="00142944"/>
    <w:rsid w:val="00144DBC"/>
    <w:rsid w:val="00156CB0"/>
    <w:rsid w:val="001601B6"/>
    <w:rsid w:val="00166466"/>
    <w:rsid w:val="00167D7C"/>
    <w:rsid w:val="0017260B"/>
    <w:rsid w:val="00174C92"/>
    <w:rsid w:val="0018018D"/>
    <w:rsid w:val="00183216"/>
    <w:rsid w:val="0018763C"/>
    <w:rsid w:val="0019145F"/>
    <w:rsid w:val="001925BA"/>
    <w:rsid w:val="00193590"/>
    <w:rsid w:val="001939E2"/>
    <w:rsid w:val="00194AC9"/>
    <w:rsid w:val="001A1B2F"/>
    <w:rsid w:val="001A3BC5"/>
    <w:rsid w:val="001D0FC3"/>
    <w:rsid w:val="001E2957"/>
    <w:rsid w:val="001F3D13"/>
    <w:rsid w:val="001F7756"/>
    <w:rsid w:val="0020090B"/>
    <w:rsid w:val="00201EF2"/>
    <w:rsid w:val="00202C0D"/>
    <w:rsid w:val="0020457D"/>
    <w:rsid w:val="0020566C"/>
    <w:rsid w:val="0020645F"/>
    <w:rsid w:val="00206E4F"/>
    <w:rsid w:val="00220807"/>
    <w:rsid w:val="00222709"/>
    <w:rsid w:val="00224329"/>
    <w:rsid w:val="00231780"/>
    <w:rsid w:val="00240654"/>
    <w:rsid w:val="002469B7"/>
    <w:rsid w:val="00246D3D"/>
    <w:rsid w:val="0025431D"/>
    <w:rsid w:val="0025470F"/>
    <w:rsid w:val="0025572B"/>
    <w:rsid w:val="0025653D"/>
    <w:rsid w:val="00256BD4"/>
    <w:rsid w:val="002671FA"/>
    <w:rsid w:val="002741AE"/>
    <w:rsid w:val="002762C8"/>
    <w:rsid w:val="00282C05"/>
    <w:rsid w:val="00284ACE"/>
    <w:rsid w:val="002912D5"/>
    <w:rsid w:val="0029563B"/>
    <w:rsid w:val="00296C9E"/>
    <w:rsid w:val="002A1BA8"/>
    <w:rsid w:val="002A58BD"/>
    <w:rsid w:val="002A7D12"/>
    <w:rsid w:val="002A7E1F"/>
    <w:rsid w:val="002C251C"/>
    <w:rsid w:val="002C2610"/>
    <w:rsid w:val="002C3FEA"/>
    <w:rsid w:val="002D0190"/>
    <w:rsid w:val="002D630E"/>
    <w:rsid w:val="002F55C3"/>
    <w:rsid w:val="002F76C5"/>
    <w:rsid w:val="0030219B"/>
    <w:rsid w:val="003040AF"/>
    <w:rsid w:val="0030561C"/>
    <w:rsid w:val="00305F3C"/>
    <w:rsid w:val="00310921"/>
    <w:rsid w:val="003128FC"/>
    <w:rsid w:val="003141E1"/>
    <w:rsid w:val="00317D08"/>
    <w:rsid w:val="00325C9D"/>
    <w:rsid w:val="00330919"/>
    <w:rsid w:val="00336CDA"/>
    <w:rsid w:val="003400BE"/>
    <w:rsid w:val="00344872"/>
    <w:rsid w:val="003506C8"/>
    <w:rsid w:val="0035552B"/>
    <w:rsid w:val="00370350"/>
    <w:rsid w:val="00373B27"/>
    <w:rsid w:val="00373EE9"/>
    <w:rsid w:val="00374553"/>
    <w:rsid w:val="00374727"/>
    <w:rsid w:val="003803BD"/>
    <w:rsid w:val="00381C05"/>
    <w:rsid w:val="0038365E"/>
    <w:rsid w:val="00383F38"/>
    <w:rsid w:val="00384384"/>
    <w:rsid w:val="00392E7D"/>
    <w:rsid w:val="003933BD"/>
    <w:rsid w:val="003971B1"/>
    <w:rsid w:val="003973BA"/>
    <w:rsid w:val="003A440A"/>
    <w:rsid w:val="003B1FDA"/>
    <w:rsid w:val="003B565F"/>
    <w:rsid w:val="003C5E22"/>
    <w:rsid w:val="003C6258"/>
    <w:rsid w:val="003D2A5D"/>
    <w:rsid w:val="003D3895"/>
    <w:rsid w:val="003E7926"/>
    <w:rsid w:val="003F2D4A"/>
    <w:rsid w:val="003F3ECF"/>
    <w:rsid w:val="003F676D"/>
    <w:rsid w:val="003F6ABD"/>
    <w:rsid w:val="004008F9"/>
    <w:rsid w:val="00401CC2"/>
    <w:rsid w:val="0041133F"/>
    <w:rsid w:val="004134D5"/>
    <w:rsid w:val="00422F3B"/>
    <w:rsid w:val="00424928"/>
    <w:rsid w:val="00424CA6"/>
    <w:rsid w:val="004357DB"/>
    <w:rsid w:val="004440A2"/>
    <w:rsid w:val="004461AA"/>
    <w:rsid w:val="00452BAE"/>
    <w:rsid w:val="00453B20"/>
    <w:rsid w:val="00456770"/>
    <w:rsid w:val="00466831"/>
    <w:rsid w:val="00471EFB"/>
    <w:rsid w:val="00475FDE"/>
    <w:rsid w:val="004771E9"/>
    <w:rsid w:val="00492A98"/>
    <w:rsid w:val="00497202"/>
    <w:rsid w:val="004A48B5"/>
    <w:rsid w:val="004B4929"/>
    <w:rsid w:val="004B63C8"/>
    <w:rsid w:val="004B6B87"/>
    <w:rsid w:val="004C1794"/>
    <w:rsid w:val="004C2EC3"/>
    <w:rsid w:val="004D0C4D"/>
    <w:rsid w:val="004D2B03"/>
    <w:rsid w:val="004D61AF"/>
    <w:rsid w:val="004E07AA"/>
    <w:rsid w:val="004E0F80"/>
    <w:rsid w:val="004E346F"/>
    <w:rsid w:val="004E55B3"/>
    <w:rsid w:val="004F0291"/>
    <w:rsid w:val="004F082C"/>
    <w:rsid w:val="004F2EB3"/>
    <w:rsid w:val="004F74F2"/>
    <w:rsid w:val="00505F15"/>
    <w:rsid w:val="005106F0"/>
    <w:rsid w:val="00511220"/>
    <w:rsid w:val="0051691B"/>
    <w:rsid w:val="00516F1F"/>
    <w:rsid w:val="0051796C"/>
    <w:rsid w:val="005204FD"/>
    <w:rsid w:val="0053566C"/>
    <w:rsid w:val="00540A31"/>
    <w:rsid w:val="005424A8"/>
    <w:rsid w:val="0054451F"/>
    <w:rsid w:val="0054554A"/>
    <w:rsid w:val="00546134"/>
    <w:rsid w:val="00546A73"/>
    <w:rsid w:val="005525E5"/>
    <w:rsid w:val="0055623B"/>
    <w:rsid w:val="0056638D"/>
    <w:rsid w:val="00566A33"/>
    <w:rsid w:val="005721E3"/>
    <w:rsid w:val="00581814"/>
    <w:rsid w:val="005829DE"/>
    <w:rsid w:val="0058333D"/>
    <w:rsid w:val="00584790"/>
    <w:rsid w:val="005859A1"/>
    <w:rsid w:val="005971C8"/>
    <w:rsid w:val="005A10D3"/>
    <w:rsid w:val="005A3B8D"/>
    <w:rsid w:val="005A4BDF"/>
    <w:rsid w:val="005B0AEC"/>
    <w:rsid w:val="005B5843"/>
    <w:rsid w:val="005B70F4"/>
    <w:rsid w:val="005C0189"/>
    <w:rsid w:val="005C4521"/>
    <w:rsid w:val="005C499B"/>
    <w:rsid w:val="005C59A3"/>
    <w:rsid w:val="005C5CFC"/>
    <w:rsid w:val="005D076D"/>
    <w:rsid w:val="005D7EC5"/>
    <w:rsid w:val="005E23BE"/>
    <w:rsid w:val="005E7FDB"/>
    <w:rsid w:val="00600EFC"/>
    <w:rsid w:val="0060150E"/>
    <w:rsid w:val="00601809"/>
    <w:rsid w:val="00604EE4"/>
    <w:rsid w:val="00605B99"/>
    <w:rsid w:val="006205D5"/>
    <w:rsid w:val="00620622"/>
    <w:rsid w:val="0062176C"/>
    <w:rsid w:val="00621AF6"/>
    <w:rsid w:val="00621EA5"/>
    <w:rsid w:val="006245CF"/>
    <w:rsid w:val="0062571E"/>
    <w:rsid w:val="00626A32"/>
    <w:rsid w:val="006319D8"/>
    <w:rsid w:val="0063527B"/>
    <w:rsid w:val="006431D7"/>
    <w:rsid w:val="006449FA"/>
    <w:rsid w:val="00650233"/>
    <w:rsid w:val="00650ADA"/>
    <w:rsid w:val="0065419B"/>
    <w:rsid w:val="00654DAC"/>
    <w:rsid w:val="00655807"/>
    <w:rsid w:val="00655CFE"/>
    <w:rsid w:val="00660739"/>
    <w:rsid w:val="00672B2A"/>
    <w:rsid w:val="00672F9C"/>
    <w:rsid w:val="00681EED"/>
    <w:rsid w:val="006845DB"/>
    <w:rsid w:val="0068543A"/>
    <w:rsid w:val="00690254"/>
    <w:rsid w:val="00691A12"/>
    <w:rsid w:val="006940DD"/>
    <w:rsid w:val="00697DFD"/>
    <w:rsid w:val="006A0349"/>
    <w:rsid w:val="006A2869"/>
    <w:rsid w:val="006A411F"/>
    <w:rsid w:val="006A4885"/>
    <w:rsid w:val="006A6F96"/>
    <w:rsid w:val="006B55F8"/>
    <w:rsid w:val="006D08B9"/>
    <w:rsid w:val="006D3A70"/>
    <w:rsid w:val="006E039C"/>
    <w:rsid w:val="006E35B2"/>
    <w:rsid w:val="006E3953"/>
    <w:rsid w:val="006E6F24"/>
    <w:rsid w:val="006E7C2F"/>
    <w:rsid w:val="006F5E6B"/>
    <w:rsid w:val="00703D09"/>
    <w:rsid w:val="007043B3"/>
    <w:rsid w:val="007076DB"/>
    <w:rsid w:val="00715575"/>
    <w:rsid w:val="00715DF0"/>
    <w:rsid w:val="007232F0"/>
    <w:rsid w:val="00723964"/>
    <w:rsid w:val="007239FB"/>
    <w:rsid w:val="00726050"/>
    <w:rsid w:val="0072703C"/>
    <w:rsid w:val="007317B4"/>
    <w:rsid w:val="0073498E"/>
    <w:rsid w:val="00736E37"/>
    <w:rsid w:val="00747800"/>
    <w:rsid w:val="00752208"/>
    <w:rsid w:val="00756F37"/>
    <w:rsid w:val="0075707D"/>
    <w:rsid w:val="00760A96"/>
    <w:rsid w:val="007619F2"/>
    <w:rsid w:val="007620A1"/>
    <w:rsid w:val="007669CA"/>
    <w:rsid w:val="0077090D"/>
    <w:rsid w:val="0077261D"/>
    <w:rsid w:val="007728F9"/>
    <w:rsid w:val="0078392F"/>
    <w:rsid w:val="00785DA8"/>
    <w:rsid w:val="007900A0"/>
    <w:rsid w:val="00792079"/>
    <w:rsid w:val="00796C80"/>
    <w:rsid w:val="007A0625"/>
    <w:rsid w:val="007A5228"/>
    <w:rsid w:val="007B1841"/>
    <w:rsid w:val="007B2C0E"/>
    <w:rsid w:val="007B5036"/>
    <w:rsid w:val="007C022C"/>
    <w:rsid w:val="007C72A8"/>
    <w:rsid w:val="007C7F65"/>
    <w:rsid w:val="007D263F"/>
    <w:rsid w:val="007E1F82"/>
    <w:rsid w:val="007E2C5B"/>
    <w:rsid w:val="007E3F3E"/>
    <w:rsid w:val="007E502B"/>
    <w:rsid w:val="007E7A4E"/>
    <w:rsid w:val="007E7FEA"/>
    <w:rsid w:val="007F23A4"/>
    <w:rsid w:val="007F5F62"/>
    <w:rsid w:val="007F6008"/>
    <w:rsid w:val="0080040E"/>
    <w:rsid w:val="008021A7"/>
    <w:rsid w:val="0080380F"/>
    <w:rsid w:val="00803B12"/>
    <w:rsid w:val="00813392"/>
    <w:rsid w:val="00816F60"/>
    <w:rsid w:val="0082120A"/>
    <w:rsid w:val="0082268C"/>
    <w:rsid w:val="008277EA"/>
    <w:rsid w:val="00834CD6"/>
    <w:rsid w:val="00840089"/>
    <w:rsid w:val="00843328"/>
    <w:rsid w:val="00843617"/>
    <w:rsid w:val="00852306"/>
    <w:rsid w:val="00852C10"/>
    <w:rsid w:val="0085415B"/>
    <w:rsid w:val="00856846"/>
    <w:rsid w:val="008611E3"/>
    <w:rsid w:val="008617EC"/>
    <w:rsid w:val="00862A09"/>
    <w:rsid w:val="00862E86"/>
    <w:rsid w:val="00864387"/>
    <w:rsid w:val="00874C60"/>
    <w:rsid w:val="00874EC2"/>
    <w:rsid w:val="0087728B"/>
    <w:rsid w:val="00881A8D"/>
    <w:rsid w:val="00884B6A"/>
    <w:rsid w:val="00884C60"/>
    <w:rsid w:val="00890DAD"/>
    <w:rsid w:val="00892488"/>
    <w:rsid w:val="00893A70"/>
    <w:rsid w:val="008A1C11"/>
    <w:rsid w:val="008A26DE"/>
    <w:rsid w:val="008A2F4D"/>
    <w:rsid w:val="008A3067"/>
    <w:rsid w:val="008A326A"/>
    <w:rsid w:val="008B2202"/>
    <w:rsid w:val="008B3812"/>
    <w:rsid w:val="008C1B8E"/>
    <w:rsid w:val="008D1C2C"/>
    <w:rsid w:val="008D48B8"/>
    <w:rsid w:val="008E328A"/>
    <w:rsid w:val="008E3AEC"/>
    <w:rsid w:val="008F085D"/>
    <w:rsid w:val="008F1643"/>
    <w:rsid w:val="008F257B"/>
    <w:rsid w:val="00900BBD"/>
    <w:rsid w:val="00907638"/>
    <w:rsid w:val="0091696D"/>
    <w:rsid w:val="00923BB0"/>
    <w:rsid w:val="00923C5F"/>
    <w:rsid w:val="009314D0"/>
    <w:rsid w:val="00934E31"/>
    <w:rsid w:val="00935BA0"/>
    <w:rsid w:val="0094105F"/>
    <w:rsid w:val="00943080"/>
    <w:rsid w:val="00946012"/>
    <w:rsid w:val="0095109D"/>
    <w:rsid w:val="00951BB5"/>
    <w:rsid w:val="009543AE"/>
    <w:rsid w:val="00967A60"/>
    <w:rsid w:val="0097018B"/>
    <w:rsid w:val="00970AD1"/>
    <w:rsid w:val="00973144"/>
    <w:rsid w:val="00973198"/>
    <w:rsid w:val="0097463A"/>
    <w:rsid w:val="00980F79"/>
    <w:rsid w:val="0098116C"/>
    <w:rsid w:val="009944B8"/>
    <w:rsid w:val="009970FE"/>
    <w:rsid w:val="00997252"/>
    <w:rsid w:val="009976E5"/>
    <w:rsid w:val="009A1E74"/>
    <w:rsid w:val="009C4357"/>
    <w:rsid w:val="009C671F"/>
    <w:rsid w:val="009C791D"/>
    <w:rsid w:val="009E1C97"/>
    <w:rsid w:val="009E33CA"/>
    <w:rsid w:val="009E5B8D"/>
    <w:rsid w:val="009F04FE"/>
    <w:rsid w:val="009F0535"/>
    <w:rsid w:val="009F457D"/>
    <w:rsid w:val="009F4E2F"/>
    <w:rsid w:val="00A00145"/>
    <w:rsid w:val="00A00ECC"/>
    <w:rsid w:val="00A04E45"/>
    <w:rsid w:val="00A0756A"/>
    <w:rsid w:val="00A07679"/>
    <w:rsid w:val="00A10E66"/>
    <w:rsid w:val="00A120D3"/>
    <w:rsid w:val="00A150C2"/>
    <w:rsid w:val="00A24017"/>
    <w:rsid w:val="00A27CAE"/>
    <w:rsid w:val="00A31D50"/>
    <w:rsid w:val="00A31F28"/>
    <w:rsid w:val="00A33A07"/>
    <w:rsid w:val="00A33D24"/>
    <w:rsid w:val="00A3407A"/>
    <w:rsid w:val="00A3576F"/>
    <w:rsid w:val="00A37772"/>
    <w:rsid w:val="00A37A96"/>
    <w:rsid w:val="00A4255D"/>
    <w:rsid w:val="00A43834"/>
    <w:rsid w:val="00A4437D"/>
    <w:rsid w:val="00A44510"/>
    <w:rsid w:val="00A451BD"/>
    <w:rsid w:val="00A614EB"/>
    <w:rsid w:val="00A63AC9"/>
    <w:rsid w:val="00A643B3"/>
    <w:rsid w:val="00A6554A"/>
    <w:rsid w:val="00A6750E"/>
    <w:rsid w:val="00A67BC4"/>
    <w:rsid w:val="00A742EE"/>
    <w:rsid w:val="00A8495B"/>
    <w:rsid w:val="00A87911"/>
    <w:rsid w:val="00A91D3C"/>
    <w:rsid w:val="00A936F9"/>
    <w:rsid w:val="00AA0792"/>
    <w:rsid w:val="00AA137B"/>
    <w:rsid w:val="00AA5866"/>
    <w:rsid w:val="00AA73E5"/>
    <w:rsid w:val="00AB0BCE"/>
    <w:rsid w:val="00AB443B"/>
    <w:rsid w:val="00AC292D"/>
    <w:rsid w:val="00AC311D"/>
    <w:rsid w:val="00AC71E0"/>
    <w:rsid w:val="00AD17D3"/>
    <w:rsid w:val="00AE2DD8"/>
    <w:rsid w:val="00AE53F5"/>
    <w:rsid w:val="00AF33E6"/>
    <w:rsid w:val="00AF5B20"/>
    <w:rsid w:val="00AF6978"/>
    <w:rsid w:val="00AF7A58"/>
    <w:rsid w:val="00B0551F"/>
    <w:rsid w:val="00B15918"/>
    <w:rsid w:val="00B247A7"/>
    <w:rsid w:val="00B33FBD"/>
    <w:rsid w:val="00B354A3"/>
    <w:rsid w:val="00B377A1"/>
    <w:rsid w:val="00B42A20"/>
    <w:rsid w:val="00B45EEA"/>
    <w:rsid w:val="00B53923"/>
    <w:rsid w:val="00B60F8A"/>
    <w:rsid w:val="00B61077"/>
    <w:rsid w:val="00B620F4"/>
    <w:rsid w:val="00B72F82"/>
    <w:rsid w:val="00B77A7E"/>
    <w:rsid w:val="00B823B2"/>
    <w:rsid w:val="00B83046"/>
    <w:rsid w:val="00B87155"/>
    <w:rsid w:val="00B92ACF"/>
    <w:rsid w:val="00B939FC"/>
    <w:rsid w:val="00B96A9F"/>
    <w:rsid w:val="00BA1FA7"/>
    <w:rsid w:val="00BB29FE"/>
    <w:rsid w:val="00BB48E6"/>
    <w:rsid w:val="00BB6D43"/>
    <w:rsid w:val="00BB7B70"/>
    <w:rsid w:val="00BC57FB"/>
    <w:rsid w:val="00BC5C9C"/>
    <w:rsid w:val="00BC6650"/>
    <w:rsid w:val="00BC70E8"/>
    <w:rsid w:val="00BD1D58"/>
    <w:rsid w:val="00BD2D09"/>
    <w:rsid w:val="00BD482F"/>
    <w:rsid w:val="00BD7348"/>
    <w:rsid w:val="00BE5096"/>
    <w:rsid w:val="00BE74A4"/>
    <w:rsid w:val="00BF352A"/>
    <w:rsid w:val="00BF46AB"/>
    <w:rsid w:val="00C01093"/>
    <w:rsid w:val="00C0125C"/>
    <w:rsid w:val="00C03E8A"/>
    <w:rsid w:val="00C10950"/>
    <w:rsid w:val="00C2212D"/>
    <w:rsid w:val="00C22741"/>
    <w:rsid w:val="00C24A17"/>
    <w:rsid w:val="00C328E2"/>
    <w:rsid w:val="00C34A78"/>
    <w:rsid w:val="00C36237"/>
    <w:rsid w:val="00C37CF6"/>
    <w:rsid w:val="00C45241"/>
    <w:rsid w:val="00C50CA6"/>
    <w:rsid w:val="00C51B87"/>
    <w:rsid w:val="00C52734"/>
    <w:rsid w:val="00C62229"/>
    <w:rsid w:val="00C72151"/>
    <w:rsid w:val="00C837D0"/>
    <w:rsid w:val="00C90B14"/>
    <w:rsid w:val="00C9647F"/>
    <w:rsid w:val="00CA03A2"/>
    <w:rsid w:val="00CA0C2A"/>
    <w:rsid w:val="00CA1A4F"/>
    <w:rsid w:val="00CA6236"/>
    <w:rsid w:val="00CA75DE"/>
    <w:rsid w:val="00CB156B"/>
    <w:rsid w:val="00CB319D"/>
    <w:rsid w:val="00CB4569"/>
    <w:rsid w:val="00CC1DE6"/>
    <w:rsid w:val="00CC4BB6"/>
    <w:rsid w:val="00CC7CD5"/>
    <w:rsid w:val="00CD2928"/>
    <w:rsid w:val="00CD3328"/>
    <w:rsid w:val="00CE3C9D"/>
    <w:rsid w:val="00CE5876"/>
    <w:rsid w:val="00CE7F95"/>
    <w:rsid w:val="00CF5019"/>
    <w:rsid w:val="00CF73E4"/>
    <w:rsid w:val="00CF78A5"/>
    <w:rsid w:val="00D00856"/>
    <w:rsid w:val="00D00BC9"/>
    <w:rsid w:val="00D04AD8"/>
    <w:rsid w:val="00D062B0"/>
    <w:rsid w:val="00D06C65"/>
    <w:rsid w:val="00D070BC"/>
    <w:rsid w:val="00D07899"/>
    <w:rsid w:val="00D11ED3"/>
    <w:rsid w:val="00D1473D"/>
    <w:rsid w:val="00D21712"/>
    <w:rsid w:val="00D32CFC"/>
    <w:rsid w:val="00D3632F"/>
    <w:rsid w:val="00D41635"/>
    <w:rsid w:val="00D43BFA"/>
    <w:rsid w:val="00D50FBE"/>
    <w:rsid w:val="00D574A0"/>
    <w:rsid w:val="00D6145C"/>
    <w:rsid w:val="00D65ED4"/>
    <w:rsid w:val="00D72441"/>
    <w:rsid w:val="00D73EEB"/>
    <w:rsid w:val="00D7488C"/>
    <w:rsid w:val="00D7711F"/>
    <w:rsid w:val="00D802BA"/>
    <w:rsid w:val="00D81B1B"/>
    <w:rsid w:val="00D9482B"/>
    <w:rsid w:val="00DA031C"/>
    <w:rsid w:val="00DA50F2"/>
    <w:rsid w:val="00DA75F6"/>
    <w:rsid w:val="00DB101F"/>
    <w:rsid w:val="00DC5206"/>
    <w:rsid w:val="00DC7B46"/>
    <w:rsid w:val="00DD00D5"/>
    <w:rsid w:val="00DF66DF"/>
    <w:rsid w:val="00DF7BA0"/>
    <w:rsid w:val="00E02774"/>
    <w:rsid w:val="00E02F75"/>
    <w:rsid w:val="00E0385A"/>
    <w:rsid w:val="00E03EC1"/>
    <w:rsid w:val="00E146F8"/>
    <w:rsid w:val="00E1526E"/>
    <w:rsid w:val="00E22D99"/>
    <w:rsid w:val="00E22E8B"/>
    <w:rsid w:val="00E27390"/>
    <w:rsid w:val="00E33252"/>
    <w:rsid w:val="00E34883"/>
    <w:rsid w:val="00E3744F"/>
    <w:rsid w:val="00E43021"/>
    <w:rsid w:val="00E50AF3"/>
    <w:rsid w:val="00E50E41"/>
    <w:rsid w:val="00E51438"/>
    <w:rsid w:val="00E5610D"/>
    <w:rsid w:val="00E56AF8"/>
    <w:rsid w:val="00E62F0B"/>
    <w:rsid w:val="00E64191"/>
    <w:rsid w:val="00E64479"/>
    <w:rsid w:val="00E708FB"/>
    <w:rsid w:val="00E733B0"/>
    <w:rsid w:val="00E73CAE"/>
    <w:rsid w:val="00E765F3"/>
    <w:rsid w:val="00E807AB"/>
    <w:rsid w:val="00E82C31"/>
    <w:rsid w:val="00E830F3"/>
    <w:rsid w:val="00E83EA0"/>
    <w:rsid w:val="00E84690"/>
    <w:rsid w:val="00E874A5"/>
    <w:rsid w:val="00E91247"/>
    <w:rsid w:val="00E924DC"/>
    <w:rsid w:val="00EA0DEF"/>
    <w:rsid w:val="00EA344F"/>
    <w:rsid w:val="00EA4C54"/>
    <w:rsid w:val="00EA5F73"/>
    <w:rsid w:val="00EB46E9"/>
    <w:rsid w:val="00EB4988"/>
    <w:rsid w:val="00EC1817"/>
    <w:rsid w:val="00EC2E2E"/>
    <w:rsid w:val="00ED02C9"/>
    <w:rsid w:val="00ED0C9F"/>
    <w:rsid w:val="00EE22E0"/>
    <w:rsid w:val="00EE74EE"/>
    <w:rsid w:val="00EF4A66"/>
    <w:rsid w:val="00EF7F8A"/>
    <w:rsid w:val="00F02629"/>
    <w:rsid w:val="00F10D5A"/>
    <w:rsid w:val="00F15AE0"/>
    <w:rsid w:val="00F16A72"/>
    <w:rsid w:val="00F17A2B"/>
    <w:rsid w:val="00F20C58"/>
    <w:rsid w:val="00F33AEC"/>
    <w:rsid w:val="00F36D99"/>
    <w:rsid w:val="00F41920"/>
    <w:rsid w:val="00F44629"/>
    <w:rsid w:val="00F50CA6"/>
    <w:rsid w:val="00F623B8"/>
    <w:rsid w:val="00F66BC4"/>
    <w:rsid w:val="00F66D3F"/>
    <w:rsid w:val="00F703C5"/>
    <w:rsid w:val="00F716A8"/>
    <w:rsid w:val="00F74097"/>
    <w:rsid w:val="00F76ED0"/>
    <w:rsid w:val="00F77CA5"/>
    <w:rsid w:val="00F77FFD"/>
    <w:rsid w:val="00F80506"/>
    <w:rsid w:val="00F81FAB"/>
    <w:rsid w:val="00F91CB3"/>
    <w:rsid w:val="00F920B3"/>
    <w:rsid w:val="00F92B50"/>
    <w:rsid w:val="00F93740"/>
    <w:rsid w:val="00F93B30"/>
    <w:rsid w:val="00F94FFF"/>
    <w:rsid w:val="00FA49CA"/>
    <w:rsid w:val="00FB72B1"/>
    <w:rsid w:val="00FC3312"/>
    <w:rsid w:val="00FC6149"/>
    <w:rsid w:val="00FC772C"/>
    <w:rsid w:val="00FD7EE4"/>
    <w:rsid w:val="00FE23C9"/>
    <w:rsid w:val="00FE6210"/>
    <w:rsid w:val="00FE7D4C"/>
    <w:rsid w:val="00FF281D"/>
    <w:rsid w:val="00FF33E6"/>
    <w:rsid w:val="00FF42AC"/>
    <w:rsid w:val="00FF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426"/>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sz w:val="28"/>
      <w:u w:val="single"/>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ind w:left="567" w:hanging="567"/>
      <w:jc w:val="right"/>
      <w:outlineLvl w:val="5"/>
    </w:pPr>
    <w:rPr>
      <w:sz w:val="28"/>
    </w:rPr>
  </w:style>
  <w:style w:type="paragraph" w:styleId="Heading7">
    <w:name w:val="heading 7"/>
    <w:basedOn w:val="Normal"/>
    <w:next w:val="Normal"/>
    <w:qFormat/>
    <w:pPr>
      <w:keepNext/>
      <w:jc w:val="right"/>
      <w:outlineLvl w:val="6"/>
    </w:pPr>
    <w:rPr>
      <w:b/>
      <w:snapToGrid w:val="0"/>
      <w:color w:val="000000"/>
    </w:rPr>
  </w:style>
  <w:style w:type="paragraph" w:styleId="Heading8">
    <w:name w:val="heading 8"/>
    <w:basedOn w:val="Normal"/>
    <w:next w:val="Normal"/>
    <w:qFormat/>
    <w:pPr>
      <w:keepNext/>
      <w:ind w:firstLine="720"/>
      <w:outlineLvl w:val="7"/>
    </w:pPr>
    <w:rPr>
      <w:sz w:val="24"/>
    </w:rPr>
  </w:style>
  <w:style w:type="paragraph" w:styleId="Heading9">
    <w:name w:val="heading 9"/>
    <w:basedOn w:val="Normal"/>
    <w:next w:val="Normal"/>
    <w:qFormat/>
    <w:pPr>
      <w:keepNext/>
      <w:tabs>
        <w:tab w:val="left" w:pos="0"/>
      </w:tabs>
      <w:ind w:left="72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paragraph" w:styleId="BodyText">
    <w:name w:val="Body Text"/>
    <w:basedOn w:val="Normal"/>
    <w:pPr>
      <w:jc w:val="both"/>
    </w:pPr>
    <w:rPr>
      <w:rFonts w:ascii="Times New Roman" w:hAnsi="Times New Roman"/>
      <w:sz w:val="24"/>
    </w:rPr>
  </w:style>
  <w:style w:type="paragraph" w:styleId="BodyText2">
    <w:name w:val="Body Text 2"/>
    <w:basedOn w:val="Normal"/>
    <w:pPr>
      <w:jc w:val="both"/>
    </w:pPr>
    <w:rPr>
      <w:sz w:val="28"/>
    </w:rPr>
  </w:style>
  <w:style w:type="paragraph" w:styleId="BodyText3">
    <w:name w:val="Body Text 3"/>
    <w:basedOn w:val="Normal"/>
    <w:pPr>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table" w:styleId="TableGrid">
    <w:name w:val="Table Grid"/>
    <w:basedOn w:val="TableNormal"/>
    <w:rsid w:val="00BF4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7A13"/>
    <w:rPr>
      <w:rFonts w:ascii="Tahoma" w:hAnsi="Tahoma" w:cs="Tahoma"/>
      <w:sz w:val="16"/>
      <w:szCs w:val="16"/>
    </w:rPr>
  </w:style>
  <w:style w:type="paragraph" w:customStyle="1" w:styleId="Default">
    <w:name w:val="Default"/>
    <w:rsid w:val="00BC70E8"/>
    <w:pPr>
      <w:autoSpaceDE w:val="0"/>
      <w:autoSpaceDN w:val="0"/>
      <w:adjustRightInd w:val="0"/>
    </w:pPr>
    <w:rPr>
      <w:rFonts w:ascii="Arial" w:hAnsi="Arial" w:cs="Arial"/>
      <w:color w:val="000000"/>
      <w:sz w:val="24"/>
      <w:szCs w:val="24"/>
      <w:lang w:val="en-US" w:eastAsia="en-US"/>
    </w:rPr>
  </w:style>
  <w:style w:type="paragraph" w:customStyle="1" w:styleId="default0">
    <w:name w:val="default"/>
    <w:basedOn w:val="Normal"/>
    <w:rsid w:val="00816F60"/>
    <w:pPr>
      <w:autoSpaceDE w:val="0"/>
      <w:autoSpaceDN w:val="0"/>
    </w:pPr>
    <w:rPr>
      <w:rFonts w:cs="Arial"/>
      <w:color w:val="000000"/>
      <w:sz w:val="24"/>
      <w:szCs w:val="24"/>
      <w:lang w:val="en-US"/>
    </w:rPr>
  </w:style>
  <w:style w:type="paragraph" w:styleId="DocumentMap">
    <w:name w:val="Document Map"/>
    <w:basedOn w:val="Normal"/>
    <w:semiHidden/>
    <w:rsid w:val="003D3895"/>
    <w:pPr>
      <w:shd w:val="clear" w:color="auto" w:fill="000080"/>
    </w:pPr>
    <w:rPr>
      <w:rFonts w:ascii="Tahoma" w:hAnsi="Tahoma" w:cs="Tahoma"/>
    </w:rPr>
  </w:style>
  <w:style w:type="paragraph" w:styleId="ListParagraph">
    <w:name w:val="List Paragraph"/>
    <w:basedOn w:val="Normal"/>
    <w:uiPriority w:val="34"/>
    <w:qFormat/>
    <w:rsid w:val="001F3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426"/>
      <w:outlineLvl w:val="1"/>
    </w:pPr>
    <w:rPr>
      <w:b/>
      <w:sz w:val="24"/>
      <w:u w:val="single"/>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sz w:val="28"/>
      <w:u w:val="single"/>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ind w:left="567" w:hanging="567"/>
      <w:jc w:val="right"/>
      <w:outlineLvl w:val="5"/>
    </w:pPr>
    <w:rPr>
      <w:sz w:val="28"/>
    </w:rPr>
  </w:style>
  <w:style w:type="paragraph" w:styleId="Heading7">
    <w:name w:val="heading 7"/>
    <w:basedOn w:val="Normal"/>
    <w:next w:val="Normal"/>
    <w:qFormat/>
    <w:pPr>
      <w:keepNext/>
      <w:jc w:val="right"/>
      <w:outlineLvl w:val="6"/>
    </w:pPr>
    <w:rPr>
      <w:b/>
      <w:snapToGrid w:val="0"/>
      <w:color w:val="000000"/>
    </w:rPr>
  </w:style>
  <w:style w:type="paragraph" w:styleId="Heading8">
    <w:name w:val="heading 8"/>
    <w:basedOn w:val="Normal"/>
    <w:next w:val="Normal"/>
    <w:qFormat/>
    <w:pPr>
      <w:keepNext/>
      <w:ind w:firstLine="720"/>
      <w:outlineLvl w:val="7"/>
    </w:pPr>
    <w:rPr>
      <w:sz w:val="24"/>
    </w:rPr>
  </w:style>
  <w:style w:type="paragraph" w:styleId="Heading9">
    <w:name w:val="heading 9"/>
    <w:basedOn w:val="Normal"/>
    <w:next w:val="Normal"/>
    <w:qFormat/>
    <w:pPr>
      <w:keepNext/>
      <w:tabs>
        <w:tab w:val="left" w:pos="0"/>
      </w:tabs>
      <w:ind w:left="720"/>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paragraph" w:styleId="BodyText">
    <w:name w:val="Body Text"/>
    <w:basedOn w:val="Normal"/>
    <w:pPr>
      <w:jc w:val="both"/>
    </w:pPr>
    <w:rPr>
      <w:rFonts w:ascii="Times New Roman" w:hAnsi="Times New Roman"/>
      <w:sz w:val="24"/>
    </w:rPr>
  </w:style>
  <w:style w:type="paragraph" w:styleId="BodyText2">
    <w:name w:val="Body Text 2"/>
    <w:basedOn w:val="Normal"/>
    <w:pPr>
      <w:jc w:val="both"/>
    </w:pPr>
    <w:rPr>
      <w:sz w:val="28"/>
    </w:rPr>
  </w:style>
  <w:style w:type="paragraph" w:styleId="BodyText3">
    <w:name w:val="Body Text 3"/>
    <w:basedOn w:val="Normal"/>
    <w:pPr>
      <w:jc w:val="both"/>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PageNumber">
    <w:name w:val="page number"/>
    <w:basedOn w:val="DefaultParagraphFont"/>
  </w:style>
  <w:style w:type="table" w:styleId="TableGrid">
    <w:name w:val="Table Grid"/>
    <w:basedOn w:val="TableNormal"/>
    <w:rsid w:val="00BF4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F7A13"/>
    <w:rPr>
      <w:rFonts w:ascii="Tahoma" w:hAnsi="Tahoma" w:cs="Tahoma"/>
      <w:sz w:val="16"/>
      <w:szCs w:val="16"/>
    </w:rPr>
  </w:style>
  <w:style w:type="paragraph" w:customStyle="1" w:styleId="Default">
    <w:name w:val="Default"/>
    <w:rsid w:val="00BC70E8"/>
    <w:pPr>
      <w:autoSpaceDE w:val="0"/>
      <w:autoSpaceDN w:val="0"/>
      <w:adjustRightInd w:val="0"/>
    </w:pPr>
    <w:rPr>
      <w:rFonts w:ascii="Arial" w:hAnsi="Arial" w:cs="Arial"/>
      <w:color w:val="000000"/>
      <w:sz w:val="24"/>
      <w:szCs w:val="24"/>
      <w:lang w:val="en-US" w:eastAsia="en-US"/>
    </w:rPr>
  </w:style>
  <w:style w:type="paragraph" w:customStyle="1" w:styleId="default0">
    <w:name w:val="default"/>
    <w:basedOn w:val="Normal"/>
    <w:rsid w:val="00816F60"/>
    <w:pPr>
      <w:autoSpaceDE w:val="0"/>
      <w:autoSpaceDN w:val="0"/>
    </w:pPr>
    <w:rPr>
      <w:rFonts w:cs="Arial"/>
      <w:color w:val="000000"/>
      <w:sz w:val="24"/>
      <w:szCs w:val="24"/>
      <w:lang w:val="en-US"/>
    </w:rPr>
  </w:style>
  <w:style w:type="paragraph" w:styleId="DocumentMap">
    <w:name w:val="Document Map"/>
    <w:basedOn w:val="Normal"/>
    <w:semiHidden/>
    <w:rsid w:val="003D3895"/>
    <w:pPr>
      <w:shd w:val="clear" w:color="auto" w:fill="000080"/>
    </w:pPr>
    <w:rPr>
      <w:rFonts w:ascii="Tahoma" w:hAnsi="Tahoma" w:cs="Tahoma"/>
    </w:rPr>
  </w:style>
  <w:style w:type="paragraph" w:styleId="ListParagraph">
    <w:name w:val="List Paragraph"/>
    <w:basedOn w:val="Normal"/>
    <w:uiPriority w:val="34"/>
    <w:qFormat/>
    <w:rsid w:val="001F3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587">
      <w:bodyDiv w:val="1"/>
      <w:marLeft w:val="0"/>
      <w:marRight w:val="0"/>
      <w:marTop w:val="0"/>
      <w:marBottom w:val="0"/>
      <w:divBdr>
        <w:top w:val="none" w:sz="0" w:space="0" w:color="auto"/>
        <w:left w:val="none" w:sz="0" w:space="0" w:color="auto"/>
        <w:bottom w:val="none" w:sz="0" w:space="0" w:color="auto"/>
        <w:right w:val="none" w:sz="0" w:space="0" w:color="auto"/>
      </w:divBdr>
    </w:div>
    <w:div w:id="172229802">
      <w:bodyDiv w:val="1"/>
      <w:marLeft w:val="60"/>
      <w:marRight w:val="60"/>
      <w:marTop w:val="60"/>
      <w:marBottom w:val="15"/>
      <w:divBdr>
        <w:top w:val="none" w:sz="0" w:space="0" w:color="auto"/>
        <w:left w:val="none" w:sz="0" w:space="0" w:color="auto"/>
        <w:bottom w:val="none" w:sz="0" w:space="0" w:color="auto"/>
        <w:right w:val="none" w:sz="0" w:space="0" w:color="auto"/>
      </w:divBdr>
    </w:div>
    <w:div w:id="200677067">
      <w:bodyDiv w:val="1"/>
      <w:marLeft w:val="0"/>
      <w:marRight w:val="0"/>
      <w:marTop w:val="0"/>
      <w:marBottom w:val="0"/>
      <w:divBdr>
        <w:top w:val="none" w:sz="0" w:space="0" w:color="auto"/>
        <w:left w:val="none" w:sz="0" w:space="0" w:color="auto"/>
        <w:bottom w:val="none" w:sz="0" w:space="0" w:color="auto"/>
        <w:right w:val="none" w:sz="0" w:space="0" w:color="auto"/>
      </w:divBdr>
    </w:div>
    <w:div w:id="527765185">
      <w:bodyDiv w:val="1"/>
      <w:marLeft w:val="0"/>
      <w:marRight w:val="0"/>
      <w:marTop w:val="0"/>
      <w:marBottom w:val="0"/>
      <w:divBdr>
        <w:top w:val="none" w:sz="0" w:space="0" w:color="auto"/>
        <w:left w:val="none" w:sz="0" w:space="0" w:color="auto"/>
        <w:bottom w:val="none" w:sz="0" w:space="0" w:color="auto"/>
        <w:right w:val="none" w:sz="0" w:space="0" w:color="auto"/>
      </w:divBdr>
    </w:div>
    <w:div w:id="667948744">
      <w:bodyDiv w:val="1"/>
      <w:marLeft w:val="0"/>
      <w:marRight w:val="0"/>
      <w:marTop w:val="0"/>
      <w:marBottom w:val="0"/>
      <w:divBdr>
        <w:top w:val="none" w:sz="0" w:space="0" w:color="auto"/>
        <w:left w:val="none" w:sz="0" w:space="0" w:color="auto"/>
        <w:bottom w:val="none" w:sz="0" w:space="0" w:color="auto"/>
        <w:right w:val="none" w:sz="0" w:space="0" w:color="auto"/>
      </w:divBdr>
    </w:div>
    <w:div w:id="745611834">
      <w:bodyDiv w:val="1"/>
      <w:marLeft w:val="0"/>
      <w:marRight w:val="0"/>
      <w:marTop w:val="0"/>
      <w:marBottom w:val="0"/>
      <w:divBdr>
        <w:top w:val="none" w:sz="0" w:space="0" w:color="auto"/>
        <w:left w:val="none" w:sz="0" w:space="0" w:color="auto"/>
        <w:bottom w:val="none" w:sz="0" w:space="0" w:color="auto"/>
        <w:right w:val="none" w:sz="0" w:space="0" w:color="auto"/>
      </w:divBdr>
    </w:div>
    <w:div w:id="1183741602">
      <w:bodyDiv w:val="1"/>
      <w:marLeft w:val="0"/>
      <w:marRight w:val="0"/>
      <w:marTop w:val="0"/>
      <w:marBottom w:val="0"/>
      <w:divBdr>
        <w:top w:val="none" w:sz="0" w:space="0" w:color="auto"/>
        <w:left w:val="none" w:sz="0" w:space="0" w:color="auto"/>
        <w:bottom w:val="none" w:sz="0" w:space="0" w:color="auto"/>
        <w:right w:val="none" w:sz="0" w:space="0" w:color="auto"/>
      </w:divBdr>
    </w:div>
    <w:div w:id="1385446849">
      <w:bodyDiv w:val="1"/>
      <w:marLeft w:val="0"/>
      <w:marRight w:val="0"/>
      <w:marTop w:val="0"/>
      <w:marBottom w:val="0"/>
      <w:divBdr>
        <w:top w:val="none" w:sz="0" w:space="0" w:color="auto"/>
        <w:left w:val="none" w:sz="0" w:space="0" w:color="auto"/>
        <w:bottom w:val="none" w:sz="0" w:space="0" w:color="auto"/>
        <w:right w:val="none" w:sz="0" w:space="0" w:color="auto"/>
      </w:divBdr>
    </w:div>
    <w:div w:id="1713769171">
      <w:bodyDiv w:val="1"/>
      <w:marLeft w:val="0"/>
      <w:marRight w:val="0"/>
      <w:marTop w:val="0"/>
      <w:marBottom w:val="0"/>
      <w:divBdr>
        <w:top w:val="none" w:sz="0" w:space="0" w:color="auto"/>
        <w:left w:val="none" w:sz="0" w:space="0" w:color="auto"/>
        <w:bottom w:val="none" w:sz="0" w:space="0" w:color="auto"/>
        <w:right w:val="none" w:sz="0" w:space="0" w:color="auto"/>
      </w:divBdr>
    </w:div>
    <w:div w:id="1771002355">
      <w:bodyDiv w:val="1"/>
      <w:marLeft w:val="0"/>
      <w:marRight w:val="0"/>
      <w:marTop w:val="0"/>
      <w:marBottom w:val="0"/>
      <w:divBdr>
        <w:top w:val="none" w:sz="0" w:space="0" w:color="auto"/>
        <w:left w:val="none" w:sz="0" w:space="0" w:color="auto"/>
        <w:bottom w:val="none" w:sz="0" w:space="0" w:color="auto"/>
        <w:right w:val="none" w:sz="0" w:space="0" w:color="auto"/>
      </w:divBdr>
    </w:div>
    <w:div w:id="1792237534">
      <w:bodyDiv w:val="1"/>
      <w:marLeft w:val="0"/>
      <w:marRight w:val="0"/>
      <w:marTop w:val="0"/>
      <w:marBottom w:val="0"/>
      <w:divBdr>
        <w:top w:val="none" w:sz="0" w:space="0" w:color="auto"/>
        <w:left w:val="none" w:sz="0" w:space="0" w:color="auto"/>
        <w:bottom w:val="none" w:sz="0" w:space="0" w:color="auto"/>
        <w:right w:val="none" w:sz="0" w:space="0" w:color="auto"/>
      </w:divBdr>
    </w:div>
    <w:div w:id="1845170508">
      <w:bodyDiv w:val="1"/>
      <w:marLeft w:val="0"/>
      <w:marRight w:val="0"/>
      <w:marTop w:val="0"/>
      <w:marBottom w:val="0"/>
      <w:divBdr>
        <w:top w:val="none" w:sz="0" w:space="0" w:color="auto"/>
        <w:left w:val="none" w:sz="0" w:space="0" w:color="auto"/>
        <w:bottom w:val="none" w:sz="0" w:space="0" w:color="auto"/>
        <w:right w:val="none" w:sz="0" w:space="0" w:color="auto"/>
      </w:divBdr>
    </w:div>
    <w:div w:id="21126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s\Executiv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Executive1</Template>
  <TotalTime>2</TotalTime>
  <Pages>2</Pages>
  <Words>364</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REPORT TITLE</vt:lpstr>
    </vt:vector>
  </TitlesOfParts>
  <Company>Ketterng Borough Council</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Tom Sellers</dc:creator>
  <cp:lastModifiedBy>Anne Ireson</cp:lastModifiedBy>
  <cp:revision>4</cp:revision>
  <cp:lastPrinted>2015-02-19T15:09:00Z</cp:lastPrinted>
  <dcterms:created xsi:type="dcterms:W3CDTF">2015-02-19T12:38:00Z</dcterms:created>
  <dcterms:modified xsi:type="dcterms:W3CDTF">2015-02-19T15:09:00Z</dcterms:modified>
</cp:coreProperties>
</file>